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B742" w14:textId="0F60835D" w:rsidR="003D4318" w:rsidRPr="00487A97" w:rsidRDefault="003D4318" w:rsidP="003D4318">
      <w:pPr>
        <w:pStyle w:val="BodyText2"/>
        <w:jc w:val="both"/>
        <w:rPr>
          <w:rFonts w:asciiTheme="minorHAnsi" w:hAnsiTheme="minorHAnsi" w:cs="Arial"/>
          <w:sz w:val="36"/>
          <w:szCs w:val="36"/>
        </w:rPr>
      </w:pPr>
      <w:r w:rsidRPr="00487A97">
        <w:rPr>
          <w:rFonts w:asciiTheme="minorHAnsi" w:hAnsiTheme="minorHAnsi" w:cs="Arial"/>
          <w:sz w:val="36"/>
          <w:szCs w:val="36"/>
        </w:rPr>
        <w:t>Equality and Diversity</w:t>
      </w:r>
    </w:p>
    <w:p w14:paraId="5A941BBE" w14:textId="77777777" w:rsidR="003D4318" w:rsidRPr="00487A97" w:rsidRDefault="003D4318" w:rsidP="003D4318">
      <w:pPr>
        <w:rPr>
          <w:rFonts w:asciiTheme="minorHAnsi" w:hAnsiTheme="minorHAnsi" w:cs="Arial"/>
          <w:bCs/>
        </w:rPr>
      </w:pPr>
    </w:p>
    <w:p w14:paraId="7EF92DC6" w14:textId="771DDD66" w:rsidR="003D4318" w:rsidRPr="00487A97" w:rsidRDefault="00BB77AD" w:rsidP="003D431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="003D4318" w:rsidRPr="00487A97">
        <w:rPr>
          <w:rFonts w:asciiTheme="minorHAnsi" w:hAnsiTheme="minorHAnsi" w:cs="Arial"/>
          <w:b/>
          <w:u w:val="single"/>
        </w:rPr>
        <w:t xml:space="preserve">.1 Requirements for </w:t>
      </w:r>
      <w:r w:rsidR="003D4318">
        <w:rPr>
          <w:rFonts w:asciiTheme="minorHAnsi" w:hAnsiTheme="minorHAnsi" w:cs="Arial"/>
          <w:b/>
          <w:u w:val="single"/>
        </w:rPr>
        <w:t>CWD Outreach</w:t>
      </w:r>
      <w:r w:rsidR="003D4318" w:rsidRPr="00487A97">
        <w:rPr>
          <w:rFonts w:asciiTheme="minorHAnsi" w:hAnsiTheme="minorHAnsi" w:cs="Arial"/>
          <w:b/>
          <w:u w:val="single"/>
        </w:rPr>
        <w:t xml:space="preserve"> staff</w:t>
      </w:r>
    </w:p>
    <w:p w14:paraId="385DF865" w14:textId="77777777" w:rsidR="003D4318" w:rsidRPr="00487A97" w:rsidRDefault="003D4318" w:rsidP="003D4318">
      <w:pPr>
        <w:jc w:val="both"/>
        <w:rPr>
          <w:rFonts w:asciiTheme="minorHAnsi" w:hAnsiTheme="minorHAnsi" w:cs="Arial"/>
          <w:b/>
          <w:u w:val="single"/>
        </w:rPr>
      </w:pPr>
    </w:p>
    <w:p w14:paraId="080F1116" w14:textId="77777777" w:rsidR="003D4318" w:rsidRPr="00487A97" w:rsidRDefault="003D4318" w:rsidP="003D4318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The work and reputation of </w:t>
      </w: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relies upon its employees to uphold the Organisations Aims and Values, including the Equal Opportunities Policy and the Code of Conduct.</w:t>
      </w:r>
    </w:p>
    <w:p w14:paraId="450F3D07" w14:textId="77777777" w:rsidR="003D4318" w:rsidRPr="00487A97" w:rsidRDefault="003D4318" w:rsidP="003D4318">
      <w:pPr>
        <w:jc w:val="both"/>
        <w:rPr>
          <w:rFonts w:asciiTheme="minorHAnsi" w:hAnsiTheme="minorHAnsi" w:cs="Arial"/>
        </w:rPr>
      </w:pPr>
    </w:p>
    <w:p w14:paraId="74A50CAF" w14:textId="2CABEAD9" w:rsidR="003D4318" w:rsidRPr="003D4318" w:rsidRDefault="003D4318" w:rsidP="003D4318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2E74B5" w:themeColor="accent5" w:themeShade="BF"/>
        </w:rPr>
      </w:pPr>
      <w:r w:rsidRPr="00487A97">
        <w:rPr>
          <w:rFonts w:asciiTheme="minorHAnsi" w:hAnsiTheme="minorHAnsi" w:cs="Arial"/>
        </w:rPr>
        <w:t>As an employee of Surrey County Council you are subject to Surrey County Councils overarching</w:t>
      </w:r>
      <w:r>
        <w:rPr>
          <w:rFonts w:asciiTheme="minorHAnsi" w:hAnsiTheme="minorHAnsi" w:cs="Arial"/>
        </w:rPr>
        <w:t xml:space="preserve"> </w:t>
      </w:r>
      <w:r w:rsidRPr="00487A97">
        <w:rPr>
          <w:rFonts w:asciiTheme="minorHAnsi" w:hAnsiTheme="minorHAnsi" w:cs="Arial"/>
        </w:rPr>
        <w:t>policy</w:t>
      </w:r>
      <w:r w:rsidRPr="00487A97">
        <w:rPr>
          <w:rFonts w:asciiTheme="minorHAnsi" w:hAnsiTheme="minorHAnsi" w:cs="Arial"/>
          <w:color w:val="2E74B5" w:themeColor="accent5" w:themeShade="BF"/>
        </w:rPr>
        <w:t>:</w:t>
      </w:r>
      <w:r>
        <w:rPr>
          <w:rFonts w:asciiTheme="minorHAnsi" w:hAnsiTheme="minorHAnsi" w:cs="Arial"/>
          <w:color w:val="2E74B5" w:themeColor="accent5" w:themeShade="BF"/>
        </w:rPr>
        <w:t xml:space="preserve"> </w:t>
      </w:r>
      <w:hyperlink r:id="rId7" w:history="1">
        <w:r w:rsidRPr="003D4318">
          <w:rPr>
            <w:rStyle w:val="Hyperlink"/>
            <w:rFonts w:asciiTheme="minorHAnsi" w:hAnsiTheme="minorHAnsi" w:cstheme="minorHAnsi"/>
          </w:rPr>
          <w:t>Organisational Info - Equal-Opportunities-in-Employment-Aug-2012.pdf - All Documents (sharepoint.com)</w:t>
        </w:r>
      </w:hyperlink>
    </w:p>
    <w:p w14:paraId="7AE478ED" w14:textId="77777777" w:rsidR="003D4318" w:rsidRPr="00487A97" w:rsidRDefault="003D4318" w:rsidP="003D4318">
      <w:pPr>
        <w:pStyle w:val="ListParagraph"/>
        <w:ind w:left="360"/>
        <w:jc w:val="both"/>
        <w:rPr>
          <w:rFonts w:asciiTheme="minorHAnsi" w:hAnsiTheme="minorHAnsi" w:cs="Arial"/>
          <w:color w:val="2E74B5" w:themeColor="accent5" w:themeShade="BF"/>
        </w:rPr>
      </w:pPr>
    </w:p>
    <w:p w14:paraId="2A0016E8" w14:textId="77777777" w:rsidR="003D4318" w:rsidRPr="00487A97" w:rsidRDefault="003D4318" w:rsidP="003D4318">
      <w:pPr>
        <w:pStyle w:val="BodyText2"/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 xml:space="preserve">Employees are required to positively support and promote the aims and values and to incorporate them into their conduct in relation to all aspects of their work for </w:t>
      </w:r>
      <w:r>
        <w:rPr>
          <w:rFonts w:asciiTheme="minorHAnsi" w:hAnsiTheme="minorHAnsi" w:cs="Arial"/>
          <w:b w:val="0"/>
          <w:bCs w:val="0"/>
        </w:rPr>
        <w:t>CWD Outreach</w:t>
      </w:r>
      <w:r w:rsidRPr="00487A97">
        <w:rPr>
          <w:rFonts w:asciiTheme="minorHAnsi" w:hAnsiTheme="minorHAnsi" w:cs="Arial"/>
          <w:b w:val="0"/>
          <w:bCs w:val="0"/>
        </w:rPr>
        <w:t xml:space="preserve"> Service.</w:t>
      </w:r>
    </w:p>
    <w:p w14:paraId="607B9107" w14:textId="77777777" w:rsidR="003D4318" w:rsidRPr="00487A97" w:rsidRDefault="003D4318" w:rsidP="003D4318">
      <w:pPr>
        <w:pStyle w:val="BodyText2"/>
        <w:ind w:left="426" w:hanging="426"/>
        <w:jc w:val="both"/>
        <w:rPr>
          <w:rFonts w:asciiTheme="minorHAnsi" w:hAnsiTheme="minorHAnsi" w:cs="Arial"/>
          <w:b w:val="0"/>
          <w:bCs w:val="0"/>
        </w:rPr>
      </w:pPr>
    </w:p>
    <w:p w14:paraId="7F77B612" w14:textId="77777777" w:rsidR="003D4318" w:rsidRPr="00487A97" w:rsidRDefault="003D4318" w:rsidP="003D4318">
      <w:pPr>
        <w:pStyle w:val="BodyText2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Employees must ensure compliance with the Equal Opportunities Policy and other policies in relation to equality issues.</w:t>
      </w:r>
    </w:p>
    <w:p w14:paraId="2E90CC66" w14:textId="77777777" w:rsidR="003D4318" w:rsidRPr="00487A97" w:rsidRDefault="003D4318" w:rsidP="003D4318">
      <w:pPr>
        <w:pStyle w:val="BodyText2"/>
        <w:ind w:left="426" w:hanging="426"/>
        <w:jc w:val="both"/>
        <w:rPr>
          <w:rFonts w:asciiTheme="minorHAnsi" w:hAnsiTheme="minorHAnsi" w:cs="Arial"/>
          <w:b w:val="0"/>
          <w:bCs w:val="0"/>
        </w:rPr>
      </w:pPr>
    </w:p>
    <w:p w14:paraId="03FE2246" w14:textId="77777777" w:rsidR="003D4318" w:rsidRPr="00487A97" w:rsidRDefault="003D4318" w:rsidP="003D4318">
      <w:pPr>
        <w:pStyle w:val="BodyText2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 xml:space="preserve">Employees should not be involved in harassment or bullying against colleagues, other employees, Service Users or their families as defined by the Surrey County </w:t>
      </w:r>
      <w:proofErr w:type="gramStart"/>
      <w:r w:rsidRPr="00487A97">
        <w:rPr>
          <w:rFonts w:asciiTheme="minorHAnsi" w:hAnsiTheme="minorHAnsi" w:cs="Arial"/>
          <w:b w:val="0"/>
          <w:bCs w:val="0"/>
        </w:rPr>
        <w:t>Council  Equality</w:t>
      </w:r>
      <w:proofErr w:type="gramEnd"/>
      <w:r w:rsidRPr="00487A97">
        <w:rPr>
          <w:rFonts w:asciiTheme="minorHAnsi" w:hAnsiTheme="minorHAnsi" w:cs="Arial"/>
          <w:b w:val="0"/>
          <w:bCs w:val="0"/>
        </w:rPr>
        <w:t xml:space="preserve"> inclusion fairness and respect policy as above  </w:t>
      </w:r>
    </w:p>
    <w:p w14:paraId="47759A44" w14:textId="77777777" w:rsidR="003D4318" w:rsidRPr="00487A97" w:rsidRDefault="003D4318" w:rsidP="003D4318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05ABFD72" w14:textId="77777777" w:rsidR="003D4318" w:rsidRPr="00487A97" w:rsidRDefault="003D4318" w:rsidP="003D4318">
      <w:pPr>
        <w:pStyle w:val="BodyText2"/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Employees should be prepared to actively challenge any form of discrimination and be respectful of difference.</w:t>
      </w:r>
    </w:p>
    <w:p w14:paraId="3226B09E" w14:textId="77777777" w:rsidR="003D4318" w:rsidRPr="00487A97" w:rsidRDefault="003D4318" w:rsidP="003D4318">
      <w:pPr>
        <w:pStyle w:val="ListParagraph"/>
        <w:rPr>
          <w:rFonts w:asciiTheme="minorHAnsi" w:hAnsiTheme="minorHAnsi" w:cs="Arial"/>
          <w:b/>
          <w:bCs/>
        </w:rPr>
      </w:pPr>
    </w:p>
    <w:p w14:paraId="11526BB4" w14:textId="77777777" w:rsidR="003D4318" w:rsidRPr="00487A97" w:rsidRDefault="003D4318" w:rsidP="003D4318">
      <w:pPr>
        <w:pStyle w:val="BodyText2"/>
        <w:ind w:left="426"/>
        <w:jc w:val="both"/>
        <w:rPr>
          <w:rFonts w:asciiTheme="minorHAnsi" w:hAnsiTheme="minorHAnsi" w:cs="Arial"/>
          <w:b w:val="0"/>
          <w:bCs w:val="0"/>
        </w:rPr>
      </w:pPr>
    </w:p>
    <w:p w14:paraId="21FA84C0" w14:textId="1B7E6EEF" w:rsidR="003D4318" w:rsidRPr="00487A97" w:rsidRDefault="00BB77AD" w:rsidP="003D4318">
      <w:pPr>
        <w:pStyle w:val="BodyText2"/>
        <w:rPr>
          <w:rFonts w:asciiTheme="minorHAnsi" w:hAnsiTheme="minorHAnsi" w:cs="Arial"/>
          <w:bCs w:val="0"/>
          <w:u w:val="single"/>
        </w:rPr>
      </w:pPr>
      <w:r>
        <w:rPr>
          <w:rFonts w:asciiTheme="minorHAnsi" w:hAnsiTheme="minorHAnsi" w:cs="Arial"/>
          <w:bCs w:val="0"/>
          <w:u w:val="single"/>
        </w:rPr>
        <w:t>1</w:t>
      </w:r>
      <w:r w:rsidR="003D4318" w:rsidRPr="00487A97">
        <w:rPr>
          <w:rFonts w:asciiTheme="minorHAnsi" w:hAnsiTheme="minorHAnsi" w:cs="Arial"/>
          <w:bCs w:val="0"/>
          <w:u w:val="single"/>
        </w:rPr>
        <w:t>.2 Discriminatory action against Support workers by Service users</w:t>
      </w:r>
    </w:p>
    <w:p w14:paraId="22C3819C" w14:textId="77777777" w:rsidR="003D4318" w:rsidRPr="00487A97" w:rsidRDefault="003D4318" w:rsidP="003D4318">
      <w:pPr>
        <w:rPr>
          <w:rFonts w:asciiTheme="minorHAnsi" w:hAnsiTheme="minorHAnsi" w:cs="Arial"/>
        </w:rPr>
      </w:pPr>
    </w:p>
    <w:p w14:paraId="414FF891" w14:textId="77777777" w:rsidR="003D4318" w:rsidRPr="00487A97" w:rsidRDefault="003D4318" w:rsidP="003D4318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The service has an equal duty of care towards its </w:t>
      </w: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>Service staff members as it does towards its service users.</w:t>
      </w:r>
    </w:p>
    <w:p w14:paraId="33FFA3AD" w14:textId="77777777" w:rsidR="003D4318" w:rsidRPr="00487A97" w:rsidRDefault="003D4318" w:rsidP="003D4318">
      <w:pPr>
        <w:jc w:val="both"/>
        <w:rPr>
          <w:rFonts w:asciiTheme="minorHAnsi" w:hAnsiTheme="minorHAnsi" w:cs="Arial"/>
        </w:rPr>
      </w:pPr>
    </w:p>
    <w:p w14:paraId="7136E4E2" w14:textId="77777777" w:rsidR="003D4318" w:rsidRPr="00487A97" w:rsidRDefault="003D4318" w:rsidP="003D4318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It is not acceptable for a service user to refuse services from a support worker due to their race, colour, culture, </w:t>
      </w:r>
      <w:proofErr w:type="gramStart"/>
      <w:r w:rsidRPr="00487A97">
        <w:rPr>
          <w:rFonts w:asciiTheme="minorHAnsi" w:hAnsiTheme="minorHAnsi" w:cs="Arial"/>
        </w:rPr>
        <w:t>sexuality</w:t>
      </w:r>
      <w:proofErr w:type="gramEnd"/>
      <w:r w:rsidRPr="00487A97">
        <w:rPr>
          <w:rFonts w:asciiTheme="minorHAnsi" w:hAnsiTheme="minorHAnsi" w:cs="Arial"/>
        </w:rPr>
        <w:t xml:space="preserve"> or disability.  On the same basis it is not acceptable for a staff member to be harassed by a service user on any of these grounds. Considerations with regard to preferences made on religious grounds or cultural needs will be discussed and detailed in the c</w:t>
      </w:r>
      <w:r>
        <w:rPr>
          <w:rFonts w:asciiTheme="minorHAnsi" w:hAnsiTheme="minorHAnsi" w:cs="Arial"/>
        </w:rPr>
        <w:t xml:space="preserve">hild/ young </w:t>
      </w:r>
      <w:proofErr w:type="gramStart"/>
      <w:r>
        <w:rPr>
          <w:rFonts w:asciiTheme="minorHAnsi" w:hAnsiTheme="minorHAnsi" w:cs="Arial"/>
        </w:rPr>
        <w:t>person centred</w:t>
      </w:r>
      <w:proofErr w:type="gramEnd"/>
      <w:r>
        <w:rPr>
          <w:rFonts w:asciiTheme="minorHAnsi" w:hAnsiTheme="minorHAnsi" w:cs="Arial"/>
        </w:rPr>
        <w:t xml:space="preserve"> Plan and Risk Assessment.</w:t>
      </w:r>
    </w:p>
    <w:p w14:paraId="61F7A56A" w14:textId="77777777" w:rsidR="003D4318" w:rsidRDefault="003D4318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7491C253" w14:textId="77777777" w:rsidR="003D4318" w:rsidRDefault="003D4318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16D8DCCC" w14:textId="77777777" w:rsidR="003D4318" w:rsidRDefault="003D4318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60143C9F" w14:textId="77777777" w:rsidR="00184077" w:rsidRDefault="00184077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189B2E4A" w14:textId="77777777" w:rsidR="003D4318" w:rsidRDefault="003D4318" w:rsidP="003D4318">
      <w:pPr>
        <w:rPr>
          <w:rFonts w:asciiTheme="minorHAnsi" w:hAnsiTheme="minorHAnsi" w:cs="Arial"/>
          <w:b/>
          <w:sz w:val="36"/>
          <w:szCs w:val="36"/>
        </w:rPr>
      </w:pPr>
    </w:p>
    <w:p w14:paraId="060B2DCF" w14:textId="77777777" w:rsidR="00184077" w:rsidRDefault="00184077" w:rsidP="00184077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75E91485" w14:textId="77777777" w:rsidR="00184077" w:rsidRDefault="00184077" w:rsidP="00184077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1487BE15" w14:textId="4B571846" w:rsidR="00DB1A57" w:rsidRDefault="00184077" w:rsidP="00184077">
      <w:pPr>
        <w:tabs>
          <w:tab w:val="left" w:pos="5235"/>
        </w:tabs>
      </w:pPr>
      <w:r>
        <w:rPr>
          <w:rFonts w:ascii="Arial" w:hAnsi="Arial" w:cs="Arial"/>
          <w:sz w:val="20"/>
          <w:szCs w:val="20"/>
        </w:rPr>
        <w:t>Next review date: September 2024</w:t>
      </w:r>
    </w:p>
    <w:sectPr w:rsidR="00DB1A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14"/>
  </w:num>
  <w:num w:numId="2" w16cid:durableId="222299180">
    <w:abstractNumId w:val="12"/>
  </w:num>
  <w:num w:numId="3" w16cid:durableId="930700511">
    <w:abstractNumId w:val="16"/>
  </w:num>
  <w:num w:numId="4" w16cid:durableId="468283886">
    <w:abstractNumId w:val="5"/>
  </w:num>
  <w:num w:numId="5" w16cid:durableId="256640501">
    <w:abstractNumId w:val="19"/>
  </w:num>
  <w:num w:numId="6" w16cid:durableId="660275700">
    <w:abstractNumId w:val="13"/>
  </w:num>
  <w:num w:numId="7" w16cid:durableId="338392998">
    <w:abstractNumId w:val="9"/>
  </w:num>
  <w:num w:numId="8" w16cid:durableId="2044479636">
    <w:abstractNumId w:val="8"/>
  </w:num>
  <w:num w:numId="9" w16cid:durableId="409037205">
    <w:abstractNumId w:val="18"/>
  </w:num>
  <w:num w:numId="10" w16cid:durableId="1229271572">
    <w:abstractNumId w:val="3"/>
  </w:num>
  <w:num w:numId="11" w16cid:durableId="1762486508">
    <w:abstractNumId w:val="11"/>
  </w:num>
  <w:num w:numId="12" w16cid:durableId="11998595">
    <w:abstractNumId w:val="10"/>
  </w:num>
  <w:num w:numId="13" w16cid:durableId="2114402339">
    <w:abstractNumId w:val="7"/>
  </w:num>
  <w:num w:numId="14" w16cid:durableId="1688752016">
    <w:abstractNumId w:val="17"/>
  </w:num>
  <w:num w:numId="15" w16cid:durableId="487140242">
    <w:abstractNumId w:val="0"/>
  </w:num>
  <w:num w:numId="16" w16cid:durableId="1311866549">
    <w:abstractNumId w:val="20"/>
  </w:num>
  <w:num w:numId="17" w16cid:durableId="1119761261">
    <w:abstractNumId w:val="1"/>
  </w:num>
  <w:num w:numId="18" w16cid:durableId="427309565">
    <w:abstractNumId w:val="15"/>
  </w:num>
  <w:num w:numId="19" w16cid:durableId="706611346">
    <w:abstractNumId w:val="2"/>
  </w:num>
  <w:num w:numId="20" w16cid:durableId="98725261">
    <w:abstractNumId w:val="6"/>
  </w:num>
  <w:num w:numId="21" w16cid:durableId="206456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84077"/>
    <w:rsid w:val="003D4318"/>
    <w:rsid w:val="00BB77AD"/>
    <w:rsid w:val="00D25C27"/>
    <w:rsid w:val="00D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bispartnerships.sharepoint.com/sites/organisational_info/Documents/Forms/AllItems.aspx?id=%2Fsites%2Forganisational%5Finfo%2FDocuments%2Fequalities%2FEqual%2DOpportunities%2Din%2DEmployment%2DAug%2D2012%2Epdf&amp;parent=%2Fsites%2Forganisational%5Finfo%2FDocuments%2Fequa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4</cp:revision>
  <dcterms:created xsi:type="dcterms:W3CDTF">2023-09-29T14:59:00Z</dcterms:created>
  <dcterms:modified xsi:type="dcterms:W3CDTF">2023-11-10T09:00:00Z</dcterms:modified>
</cp:coreProperties>
</file>