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CC" w:rsidRDefault="00FB629C" w:rsidP="00C03CCC">
      <w:pPr>
        <w:pStyle w:val="Title"/>
        <w:spacing w:after="200" w:line="480" w:lineRule="auto"/>
        <w:jc w:val="right"/>
        <w:rPr>
          <w:sz w:val="32"/>
          <w:szCs w:val="32"/>
        </w:rPr>
      </w:pPr>
      <w:bookmarkStart w:id="0" w:name="_Toc50977481"/>
      <w:bookmarkStart w:id="1" w:name="_GoBack"/>
      <w:bookmarkEnd w:id="1"/>
      <w:r>
        <w:rPr>
          <w:noProof/>
          <w:lang w:eastAsia="en-GB"/>
        </w:rPr>
        <w:drawing>
          <wp:inline distT="0" distB="0" distL="0" distR="0" wp14:anchorId="6CA116FC" wp14:editId="7AFBADBD">
            <wp:extent cx="2260600" cy="1216660"/>
            <wp:effectExtent l="0" t="0" r="6350" b="2540"/>
            <wp:docPr id="5" name="Picture 5" descr="Picture of the SENDIAS service logo. An image that was designed by a Woodlands School pupil." title="SENDIAS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600" cy="1216660"/>
                    </a:xfrm>
                    <a:prstGeom prst="rect">
                      <a:avLst/>
                    </a:prstGeom>
                    <a:noFill/>
                    <a:ln>
                      <a:noFill/>
                    </a:ln>
                  </pic:spPr>
                </pic:pic>
              </a:graphicData>
            </a:graphic>
          </wp:inline>
        </w:drawing>
      </w:r>
      <w:bookmarkEnd w:id="0"/>
    </w:p>
    <w:p w:rsidR="00831DDC" w:rsidRPr="008D725D" w:rsidRDefault="00831DDC" w:rsidP="00037825">
      <w:pPr>
        <w:pStyle w:val="Heading1"/>
        <w:rPr>
          <w:sz w:val="32"/>
        </w:rPr>
      </w:pPr>
      <w:r w:rsidRPr="00037825">
        <w:rPr>
          <w:sz w:val="28"/>
          <w:szCs w:val="28"/>
        </w:rPr>
        <w:t>SENDIAS</w:t>
      </w:r>
      <w:r w:rsidRPr="008D725D">
        <w:rPr>
          <w:sz w:val="32"/>
        </w:rPr>
        <w:t xml:space="preserve"> Service 202</w:t>
      </w:r>
      <w:r>
        <w:rPr>
          <w:sz w:val="32"/>
        </w:rPr>
        <w:t>3</w:t>
      </w:r>
      <w:r w:rsidRPr="008D725D">
        <w:rPr>
          <w:sz w:val="32"/>
        </w:rPr>
        <w:t xml:space="preserve">: </w:t>
      </w:r>
      <w:r>
        <w:rPr>
          <w:sz w:val="32"/>
        </w:rPr>
        <w:t xml:space="preserve">Quarter </w:t>
      </w:r>
      <w:r w:rsidR="001C20F7">
        <w:rPr>
          <w:sz w:val="32"/>
        </w:rPr>
        <w:t>3</w:t>
      </w:r>
      <w:r w:rsidRPr="008D725D">
        <w:rPr>
          <w:sz w:val="32"/>
        </w:rPr>
        <w:t xml:space="preserve"> data summary</w:t>
      </w:r>
    </w:p>
    <w:p w:rsidR="00C95D84" w:rsidRPr="00037825" w:rsidRDefault="00C95D84" w:rsidP="00C95D84">
      <w:pPr>
        <w:pStyle w:val="Heading1"/>
        <w:rPr>
          <w:sz w:val="28"/>
          <w:szCs w:val="28"/>
        </w:rPr>
      </w:pPr>
      <w:r w:rsidRPr="00037825">
        <w:rPr>
          <w:sz w:val="28"/>
          <w:szCs w:val="28"/>
        </w:rPr>
        <w:t>Who is using the service?</w:t>
      </w:r>
    </w:p>
    <w:p w:rsidR="00C03CCC" w:rsidRDefault="00C03CCC" w:rsidP="00C95D84">
      <w:pPr>
        <w:jc w:val="both"/>
        <w:rPr>
          <w:rFonts w:cs="Arial"/>
          <w:szCs w:val="24"/>
        </w:rPr>
      </w:pPr>
      <w:r>
        <w:rPr>
          <w:rFonts w:cs="Arial"/>
          <w:szCs w:val="24"/>
        </w:rPr>
        <w:t xml:space="preserve">Table 1 provides a summary of the different types of enquires the SENDIAS service responded to during quarter </w:t>
      </w:r>
      <w:r w:rsidR="001C20F7">
        <w:rPr>
          <w:rFonts w:cs="Arial"/>
          <w:szCs w:val="24"/>
        </w:rPr>
        <w:t>three</w:t>
      </w:r>
      <w:r>
        <w:rPr>
          <w:rFonts w:cs="Arial"/>
          <w:szCs w:val="24"/>
        </w:rPr>
        <w:t>.</w:t>
      </w:r>
    </w:p>
    <w:p w:rsidR="004B56E0" w:rsidRPr="00125586" w:rsidRDefault="004B56E0" w:rsidP="004B56E0">
      <w:pPr>
        <w:pStyle w:val="Heading2"/>
        <w:rPr>
          <w:sz w:val="22"/>
          <w:szCs w:val="22"/>
        </w:rPr>
      </w:pPr>
      <w:r w:rsidRPr="00125586">
        <w:rPr>
          <w:sz w:val="22"/>
          <w:szCs w:val="22"/>
        </w:rPr>
        <w:lastRenderedPageBreak/>
        <w:t xml:space="preserve">Table 1:0 Summary of the number of </w:t>
      </w:r>
      <w:r w:rsidRPr="00125586">
        <w:rPr>
          <w:b/>
          <w:sz w:val="22"/>
          <w:szCs w:val="22"/>
        </w:rPr>
        <w:t>new</w:t>
      </w:r>
      <w:r w:rsidRPr="00125586">
        <w:rPr>
          <w:sz w:val="22"/>
          <w:szCs w:val="22"/>
        </w:rPr>
        <w:t xml:space="preserve"> enquiries to the service for 2023 Q</w:t>
      </w:r>
      <w:r w:rsidR="001C20F7">
        <w:rPr>
          <w:sz w:val="22"/>
          <w:szCs w:val="22"/>
        </w:rPr>
        <w:t>3</w:t>
      </w:r>
      <w:r w:rsidRPr="00125586">
        <w:rPr>
          <w:sz w:val="22"/>
          <w:szCs w:val="22"/>
        </w:rPr>
        <w:t>.</w:t>
      </w:r>
    </w:p>
    <w:tbl>
      <w:tblPr>
        <w:tblStyle w:val="TableGrid"/>
        <w:tblW w:w="9634" w:type="dxa"/>
        <w:tblLook w:val="04A0" w:firstRow="1" w:lastRow="0" w:firstColumn="1" w:lastColumn="0" w:noHBand="0" w:noVBand="1"/>
        <w:tblCaption w:val="Table 1:0 Summary og the number of new enquires to the service for the quarter"/>
        <w:tblDescription w:val="The table breakdown the different type of enquires to the SENDIAS service during the quarter in terms of new and previous users of the service. The number of open cases and enquires from different types of professionals in terms of health, education and other professionals."/>
      </w:tblPr>
      <w:tblGrid>
        <w:gridCol w:w="4673"/>
        <w:gridCol w:w="1134"/>
        <w:gridCol w:w="1134"/>
        <w:gridCol w:w="1276"/>
        <w:gridCol w:w="1417"/>
      </w:tblGrid>
      <w:tr w:rsidR="00F84EB0" w:rsidTr="003F2ED2">
        <w:trPr>
          <w:tblHeader/>
        </w:trPr>
        <w:tc>
          <w:tcPr>
            <w:tcW w:w="4673" w:type="dxa"/>
            <w:vAlign w:val="bottom"/>
          </w:tcPr>
          <w:p w:rsidR="00F84EB0" w:rsidRPr="00F84EB0" w:rsidRDefault="00C03CCC" w:rsidP="00C03CCC">
            <w:pPr>
              <w:rPr>
                <w:rFonts w:eastAsia="Times New Roman" w:cs="Arial"/>
                <w:b/>
                <w:color w:val="000000"/>
                <w:sz w:val="22"/>
                <w:lang w:eastAsia="en-GB"/>
              </w:rPr>
            </w:pPr>
            <w:r>
              <w:rPr>
                <w:rFonts w:eastAsia="Times New Roman" w:cs="Arial"/>
                <w:b/>
                <w:color w:val="000000"/>
                <w:sz w:val="22"/>
                <w:lang w:eastAsia="en-GB"/>
              </w:rPr>
              <w:t>Enquiry</w:t>
            </w:r>
            <w:r w:rsidR="005539D4">
              <w:rPr>
                <w:rFonts w:eastAsia="Times New Roman" w:cs="Arial"/>
                <w:b/>
                <w:color w:val="000000"/>
                <w:sz w:val="22"/>
                <w:lang w:eastAsia="en-GB"/>
              </w:rPr>
              <w:t xml:space="preserve"> Type</w:t>
            </w:r>
          </w:p>
        </w:tc>
        <w:tc>
          <w:tcPr>
            <w:tcW w:w="1134" w:type="dxa"/>
            <w:vAlign w:val="bottom"/>
          </w:tcPr>
          <w:p w:rsidR="00F84EB0" w:rsidRPr="007A0554" w:rsidRDefault="00616DA4" w:rsidP="003F2ED2">
            <w:pPr>
              <w:jc w:val="center"/>
              <w:rPr>
                <w:rFonts w:eastAsia="Times New Roman" w:cs="Arial"/>
                <w:b/>
                <w:bCs/>
                <w:sz w:val="22"/>
                <w:lang w:eastAsia="en-GB"/>
              </w:rPr>
            </w:pPr>
            <w:r>
              <w:rPr>
                <w:rFonts w:eastAsia="Times New Roman" w:cs="Arial"/>
                <w:b/>
                <w:bCs/>
                <w:sz w:val="22"/>
                <w:lang w:eastAsia="en-GB"/>
              </w:rPr>
              <w:t>July</w:t>
            </w:r>
          </w:p>
        </w:tc>
        <w:tc>
          <w:tcPr>
            <w:tcW w:w="1134" w:type="dxa"/>
            <w:vAlign w:val="bottom"/>
          </w:tcPr>
          <w:p w:rsidR="00F84EB0" w:rsidRPr="007A0554" w:rsidRDefault="00616DA4" w:rsidP="003F2ED2">
            <w:pPr>
              <w:jc w:val="center"/>
              <w:rPr>
                <w:rFonts w:eastAsia="Times New Roman" w:cs="Arial"/>
                <w:b/>
                <w:bCs/>
                <w:sz w:val="22"/>
                <w:lang w:eastAsia="en-GB"/>
              </w:rPr>
            </w:pPr>
            <w:r>
              <w:rPr>
                <w:rFonts w:eastAsia="Times New Roman" w:cs="Arial"/>
                <w:b/>
                <w:bCs/>
                <w:sz w:val="22"/>
                <w:lang w:eastAsia="en-GB"/>
              </w:rPr>
              <w:t>Aug</w:t>
            </w:r>
          </w:p>
        </w:tc>
        <w:tc>
          <w:tcPr>
            <w:tcW w:w="1276" w:type="dxa"/>
            <w:vAlign w:val="bottom"/>
          </w:tcPr>
          <w:p w:rsidR="00F84EB0" w:rsidRPr="007A0554" w:rsidRDefault="00616DA4" w:rsidP="003F2ED2">
            <w:pPr>
              <w:jc w:val="center"/>
              <w:rPr>
                <w:rFonts w:eastAsia="Times New Roman" w:cs="Arial"/>
                <w:b/>
                <w:bCs/>
                <w:sz w:val="22"/>
                <w:lang w:eastAsia="en-GB"/>
              </w:rPr>
            </w:pPr>
            <w:r>
              <w:rPr>
                <w:rFonts w:eastAsia="Times New Roman" w:cs="Arial"/>
                <w:b/>
                <w:bCs/>
                <w:sz w:val="22"/>
                <w:lang w:eastAsia="en-GB"/>
              </w:rPr>
              <w:t>Sep</w:t>
            </w:r>
          </w:p>
        </w:tc>
        <w:tc>
          <w:tcPr>
            <w:tcW w:w="1417" w:type="dxa"/>
            <w:shd w:val="clear" w:color="auto" w:fill="BFBFBF" w:themeFill="background1" w:themeFillShade="BF"/>
            <w:vAlign w:val="bottom"/>
          </w:tcPr>
          <w:p w:rsidR="00F84EB0" w:rsidRPr="007A0554" w:rsidRDefault="00F84EB0" w:rsidP="003F2ED2">
            <w:pPr>
              <w:jc w:val="center"/>
              <w:rPr>
                <w:rFonts w:eastAsia="Times New Roman" w:cs="Arial"/>
                <w:b/>
                <w:bCs/>
                <w:sz w:val="22"/>
                <w:lang w:eastAsia="en-GB"/>
              </w:rPr>
            </w:pPr>
            <w:r>
              <w:rPr>
                <w:rFonts w:eastAsia="Times New Roman" w:cs="Arial"/>
                <w:b/>
                <w:bCs/>
                <w:sz w:val="22"/>
                <w:lang w:eastAsia="en-GB"/>
              </w:rPr>
              <w:t>Total for quarter</w:t>
            </w:r>
          </w:p>
        </w:tc>
      </w:tr>
      <w:tr w:rsidR="00616DA4" w:rsidTr="00616DA4">
        <w:trPr>
          <w:tblHeader/>
        </w:trPr>
        <w:tc>
          <w:tcPr>
            <w:tcW w:w="4673" w:type="dxa"/>
            <w:vAlign w:val="bottom"/>
          </w:tcPr>
          <w:p w:rsidR="00616DA4" w:rsidRPr="007A0554" w:rsidRDefault="00616DA4" w:rsidP="00616DA4">
            <w:pPr>
              <w:rPr>
                <w:rFonts w:eastAsia="Times New Roman" w:cs="Arial"/>
                <w:color w:val="000000"/>
                <w:sz w:val="22"/>
                <w:lang w:eastAsia="en-GB"/>
              </w:rPr>
            </w:pPr>
            <w:r w:rsidRPr="007A0554">
              <w:rPr>
                <w:rFonts w:eastAsia="Times New Roman" w:cs="Arial"/>
                <w:color w:val="000000"/>
                <w:sz w:val="22"/>
                <w:lang w:eastAsia="en-GB"/>
              </w:rPr>
              <w:t>N</w:t>
            </w:r>
            <w:r>
              <w:rPr>
                <w:rFonts w:eastAsia="Times New Roman" w:cs="Arial"/>
                <w:color w:val="000000"/>
                <w:sz w:val="22"/>
                <w:lang w:eastAsia="en-GB"/>
              </w:rPr>
              <w:t>e</w:t>
            </w:r>
            <w:r w:rsidRPr="007A0554">
              <w:rPr>
                <w:rFonts w:eastAsia="Times New Roman" w:cs="Arial"/>
                <w:color w:val="000000"/>
                <w:sz w:val="22"/>
                <w:lang w:eastAsia="en-GB"/>
              </w:rPr>
              <w:t>w enquiries (previous users &amp; new families)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51</w:t>
            </w:r>
          </w:p>
        </w:tc>
        <w:tc>
          <w:tcPr>
            <w:tcW w:w="1134" w:type="dxa"/>
            <w:tcBorders>
              <w:top w:val="single" w:sz="4" w:space="0" w:color="auto"/>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16</w:t>
            </w:r>
          </w:p>
        </w:tc>
        <w:tc>
          <w:tcPr>
            <w:tcW w:w="1276" w:type="dxa"/>
            <w:tcBorders>
              <w:top w:val="single" w:sz="4" w:space="0" w:color="auto"/>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70</w:t>
            </w:r>
          </w:p>
        </w:tc>
        <w:tc>
          <w:tcPr>
            <w:tcW w:w="1417" w:type="dxa"/>
            <w:tcBorders>
              <w:top w:val="single" w:sz="4" w:space="0" w:color="auto"/>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137</w:t>
            </w:r>
          </w:p>
        </w:tc>
      </w:tr>
      <w:tr w:rsidR="00616DA4" w:rsidTr="00616DA4">
        <w:trPr>
          <w:tblHeader/>
        </w:trPr>
        <w:tc>
          <w:tcPr>
            <w:tcW w:w="4673" w:type="dxa"/>
            <w:vAlign w:val="bottom"/>
          </w:tcPr>
          <w:p w:rsidR="00616DA4" w:rsidRPr="007A0554" w:rsidRDefault="00616DA4" w:rsidP="00616DA4">
            <w:pPr>
              <w:rPr>
                <w:rFonts w:eastAsia="Times New Roman" w:cs="Arial"/>
                <w:color w:val="000000"/>
                <w:sz w:val="22"/>
                <w:lang w:eastAsia="en-GB"/>
              </w:rPr>
            </w:pPr>
            <w:r>
              <w:rPr>
                <w:rFonts w:eastAsia="Times New Roman" w:cs="Arial"/>
                <w:color w:val="000000"/>
                <w:sz w:val="22"/>
                <w:lang w:eastAsia="en-GB"/>
              </w:rPr>
              <w:t>E</w:t>
            </w:r>
            <w:r w:rsidRPr="001A65C5">
              <w:rPr>
                <w:rFonts w:eastAsia="Times New Roman" w:cs="Arial"/>
                <w:color w:val="000000"/>
                <w:sz w:val="22"/>
                <w:lang w:eastAsia="en-GB"/>
              </w:rPr>
              <w:t>xisting</w:t>
            </w:r>
            <w:r w:rsidRPr="007A0554">
              <w:rPr>
                <w:rFonts w:eastAsia="Times New Roman" w:cs="Arial"/>
                <w:color w:val="000000"/>
                <w:sz w:val="22"/>
                <w:lang w:eastAsia="en-GB"/>
              </w:rPr>
              <w:t xml:space="preserve"> </w:t>
            </w:r>
            <w:r w:rsidRPr="001A65C5">
              <w:rPr>
                <w:rFonts w:eastAsia="Times New Roman" w:cs="Arial"/>
                <w:color w:val="000000"/>
                <w:sz w:val="22"/>
                <w:lang w:eastAsia="en-GB"/>
              </w:rPr>
              <w:t xml:space="preserve">open </w:t>
            </w:r>
            <w:r w:rsidRPr="007A0554">
              <w:rPr>
                <w:rFonts w:eastAsia="Times New Roman" w:cs="Arial"/>
                <w:color w:val="000000"/>
                <w:sz w:val="22"/>
                <w:lang w:eastAsia="en-GB"/>
              </w:rPr>
              <w:t xml:space="preserve">casework </w:t>
            </w:r>
          </w:p>
        </w:tc>
        <w:tc>
          <w:tcPr>
            <w:tcW w:w="1134" w:type="dxa"/>
            <w:tcBorders>
              <w:top w:val="nil"/>
              <w:left w:val="single" w:sz="4" w:space="0" w:color="auto"/>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93</w:t>
            </w:r>
          </w:p>
        </w:tc>
        <w:tc>
          <w:tcPr>
            <w:tcW w:w="1134"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108</w:t>
            </w:r>
          </w:p>
        </w:tc>
        <w:tc>
          <w:tcPr>
            <w:tcW w:w="1276"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58</w:t>
            </w:r>
          </w:p>
        </w:tc>
        <w:tc>
          <w:tcPr>
            <w:tcW w:w="1417" w:type="dxa"/>
            <w:tcBorders>
              <w:top w:val="nil"/>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259</w:t>
            </w:r>
          </w:p>
        </w:tc>
      </w:tr>
      <w:tr w:rsidR="00616DA4" w:rsidTr="00616DA4">
        <w:trPr>
          <w:tblHeader/>
        </w:trPr>
        <w:tc>
          <w:tcPr>
            <w:tcW w:w="4673" w:type="dxa"/>
            <w:vAlign w:val="bottom"/>
          </w:tcPr>
          <w:p w:rsidR="00616DA4" w:rsidRPr="001A65C5" w:rsidRDefault="00616DA4" w:rsidP="00616DA4">
            <w:pPr>
              <w:rPr>
                <w:rFonts w:eastAsia="Times New Roman" w:cs="Arial"/>
                <w:color w:val="000000"/>
                <w:sz w:val="22"/>
                <w:lang w:eastAsia="en-GB"/>
              </w:rPr>
            </w:pPr>
            <w:r>
              <w:rPr>
                <w:rFonts w:eastAsia="Times New Roman" w:cs="Arial"/>
                <w:color w:val="000000"/>
                <w:sz w:val="22"/>
                <w:lang w:eastAsia="en-GB"/>
              </w:rPr>
              <w:t>New families/ CYP to SENDIAS</w:t>
            </w:r>
          </w:p>
        </w:tc>
        <w:tc>
          <w:tcPr>
            <w:tcW w:w="1134" w:type="dxa"/>
            <w:tcBorders>
              <w:top w:val="nil"/>
              <w:left w:val="single" w:sz="4" w:space="0" w:color="auto"/>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16</w:t>
            </w:r>
          </w:p>
        </w:tc>
        <w:tc>
          <w:tcPr>
            <w:tcW w:w="1134"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6</w:t>
            </w:r>
          </w:p>
        </w:tc>
        <w:tc>
          <w:tcPr>
            <w:tcW w:w="1276"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26</w:t>
            </w:r>
          </w:p>
        </w:tc>
        <w:tc>
          <w:tcPr>
            <w:tcW w:w="1417" w:type="dxa"/>
            <w:tcBorders>
              <w:top w:val="nil"/>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48</w:t>
            </w:r>
          </w:p>
        </w:tc>
      </w:tr>
      <w:tr w:rsidR="00616DA4" w:rsidTr="00616DA4">
        <w:trPr>
          <w:tblHeader/>
        </w:trPr>
        <w:tc>
          <w:tcPr>
            <w:tcW w:w="4673" w:type="dxa"/>
            <w:vAlign w:val="bottom"/>
          </w:tcPr>
          <w:p w:rsidR="00616DA4" w:rsidRPr="007A0554" w:rsidRDefault="00616DA4" w:rsidP="00616DA4">
            <w:pPr>
              <w:rPr>
                <w:rFonts w:eastAsia="Times New Roman" w:cs="Arial"/>
                <w:color w:val="000000"/>
                <w:sz w:val="22"/>
                <w:lang w:eastAsia="en-GB"/>
              </w:rPr>
            </w:pPr>
            <w:r w:rsidRPr="001A65C5">
              <w:rPr>
                <w:rFonts w:eastAsia="Times New Roman" w:cs="Arial"/>
                <w:color w:val="000000"/>
                <w:sz w:val="22"/>
                <w:lang w:eastAsia="en-GB"/>
              </w:rPr>
              <w:t xml:space="preserve">Total number of enquires </w:t>
            </w:r>
            <w:r w:rsidRPr="007A0554">
              <w:rPr>
                <w:rFonts w:eastAsia="Times New Roman" w:cs="Arial"/>
                <w:color w:val="000000"/>
                <w:sz w:val="22"/>
                <w:lang w:eastAsia="en-GB"/>
              </w:rPr>
              <w:t xml:space="preserve">this month (New &amp; </w:t>
            </w:r>
            <w:r w:rsidRPr="001A65C5">
              <w:rPr>
                <w:rFonts w:eastAsia="Times New Roman" w:cs="Arial"/>
                <w:color w:val="000000"/>
                <w:sz w:val="22"/>
                <w:lang w:eastAsia="en-GB"/>
              </w:rPr>
              <w:t>existing casework</w:t>
            </w:r>
            <w:r w:rsidRPr="007A0554">
              <w:rPr>
                <w:rFonts w:eastAsia="Times New Roman" w:cs="Arial"/>
                <w:color w:val="000000"/>
                <w:sz w:val="22"/>
                <w:lang w:eastAsia="en-GB"/>
              </w:rPr>
              <w:t>)</w:t>
            </w:r>
          </w:p>
        </w:tc>
        <w:tc>
          <w:tcPr>
            <w:tcW w:w="1134" w:type="dxa"/>
            <w:tcBorders>
              <w:top w:val="nil"/>
              <w:left w:val="single" w:sz="4" w:space="0" w:color="auto"/>
              <w:bottom w:val="single" w:sz="4" w:space="0" w:color="auto"/>
              <w:right w:val="single" w:sz="4" w:space="0" w:color="auto"/>
            </w:tcBorders>
            <w:shd w:val="clear" w:color="000000" w:fill="FFFF00"/>
            <w:vAlign w:val="bottom"/>
          </w:tcPr>
          <w:p w:rsidR="00616DA4" w:rsidRDefault="00616DA4" w:rsidP="00616DA4">
            <w:pPr>
              <w:jc w:val="center"/>
              <w:rPr>
                <w:rFonts w:ascii="Calibri" w:hAnsi="Calibri" w:cs="Calibri"/>
                <w:b/>
                <w:bCs/>
                <w:sz w:val="22"/>
              </w:rPr>
            </w:pPr>
            <w:r>
              <w:rPr>
                <w:rFonts w:ascii="Calibri" w:hAnsi="Calibri" w:cs="Calibri"/>
                <w:b/>
                <w:bCs/>
                <w:sz w:val="22"/>
              </w:rPr>
              <w:t>144</w:t>
            </w:r>
          </w:p>
        </w:tc>
        <w:tc>
          <w:tcPr>
            <w:tcW w:w="1134" w:type="dxa"/>
            <w:tcBorders>
              <w:top w:val="nil"/>
              <w:left w:val="nil"/>
              <w:bottom w:val="single" w:sz="4" w:space="0" w:color="auto"/>
              <w:right w:val="single" w:sz="4" w:space="0" w:color="auto"/>
            </w:tcBorders>
            <w:shd w:val="clear" w:color="000000" w:fill="FFFF00"/>
            <w:vAlign w:val="bottom"/>
          </w:tcPr>
          <w:p w:rsidR="00616DA4" w:rsidRDefault="00616DA4" w:rsidP="00616DA4">
            <w:pPr>
              <w:jc w:val="center"/>
              <w:rPr>
                <w:rFonts w:ascii="Calibri" w:hAnsi="Calibri" w:cs="Calibri"/>
                <w:b/>
                <w:bCs/>
                <w:sz w:val="22"/>
              </w:rPr>
            </w:pPr>
            <w:r>
              <w:rPr>
                <w:rFonts w:ascii="Calibri" w:hAnsi="Calibri" w:cs="Calibri"/>
                <w:b/>
                <w:bCs/>
                <w:sz w:val="22"/>
              </w:rPr>
              <w:t>124</w:t>
            </w:r>
          </w:p>
        </w:tc>
        <w:tc>
          <w:tcPr>
            <w:tcW w:w="1276" w:type="dxa"/>
            <w:tcBorders>
              <w:top w:val="nil"/>
              <w:left w:val="nil"/>
              <w:bottom w:val="single" w:sz="4" w:space="0" w:color="auto"/>
              <w:right w:val="single" w:sz="4" w:space="0" w:color="auto"/>
            </w:tcBorders>
            <w:shd w:val="clear" w:color="000000" w:fill="FFFF00"/>
            <w:vAlign w:val="bottom"/>
          </w:tcPr>
          <w:p w:rsidR="00616DA4" w:rsidRDefault="00616DA4" w:rsidP="00616DA4">
            <w:pPr>
              <w:jc w:val="center"/>
              <w:rPr>
                <w:rFonts w:ascii="Calibri" w:hAnsi="Calibri" w:cs="Calibri"/>
                <w:b/>
                <w:bCs/>
                <w:sz w:val="22"/>
              </w:rPr>
            </w:pPr>
            <w:r>
              <w:rPr>
                <w:rFonts w:ascii="Calibri" w:hAnsi="Calibri" w:cs="Calibri"/>
                <w:b/>
                <w:bCs/>
                <w:sz w:val="22"/>
              </w:rPr>
              <w:t>128</w:t>
            </w:r>
          </w:p>
        </w:tc>
        <w:tc>
          <w:tcPr>
            <w:tcW w:w="1417" w:type="dxa"/>
            <w:tcBorders>
              <w:top w:val="nil"/>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396</w:t>
            </w:r>
          </w:p>
        </w:tc>
      </w:tr>
      <w:tr w:rsidR="00616DA4" w:rsidTr="00616DA4">
        <w:trPr>
          <w:tblHeader/>
        </w:trPr>
        <w:tc>
          <w:tcPr>
            <w:tcW w:w="4673" w:type="dxa"/>
            <w:vAlign w:val="bottom"/>
          </w:tcPr>
          <w:p w:rsidR="00616DA4" w:rsidRPr="007A0554" w:rsidRDefault="00616DA4" w:rsidP="00616DA4">
            <w:pPr>
              <w:rPr>
                <w:rFonts w:eastAsia="Times New Roman" w:cs="Arial"/>
                <w:color w:val="000000"/>
                <w:sz w:val="22"/>
                <w:lang w:eastAsia="en-GB"/>
              </w:rPr>
            </w:pPr>
            <w:r w:rsidRPr="007A0554">
              <w:rPr>
                <w:rFonts w:eastAsia="Times New Roman" w:cs="Arial"/>
                <w:color w:val="000000"/>
                <w:sz w:val="22"/>
                <w:lang w:eastAsia="en-GB"/>
              </w:rPr>
              <w:t>Professionals (Health)</w:t>
            </w:r>
          </w:p>
        </w:tc>
        <w:tc>
          <w:tcPr>
            <w:tcW w:w="1134" w:type="dxa"/>
            <w:tcBorders>
              <w:top w:val="nil"/>
              <w:left w:val="single" w:sz="4" w:space="0" w:color="auto"/>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w:t>
            </w:r>
          </w:p>
        </w:tc>
        <w:tc>
          <w:tcPr>
            <w:tcW w:w="1134"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w:t>
            </w:r>
          </w:p>
        </w:tc>
        <w:tc>
          <w:tcPr>
            <w:tcW w:w="1276"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0</w:t>
            </w:r>
          </w:p>
        </w:tc>
        <w:tc>
          <w:tcPr>
            <w:tcW w:w="1417" w:type="dxa"/>
            <w:tcBorders>
              <w:top w:val="nil"/>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2</w:t>
            </w:r>
          </w:p>
        </w:tc>
      </w:tr>
      <w:tr w:rsidR="00616DA4" w:rsidTr="00616DA4">
        <w:trPr>
          <w:tblHeader/>
        </w:trPr>
        <w:tc>
          <w:tcPr>
            <w:tcW w:w="4673" w:type="dxa"/>
            <w:vAlign w:val="bottom"/>
          </w:tcPr>
          <w:p w:rsidR="00616DA4" w:rsidRPr="007A0554" w:rsidRDefault="00616DA4" w:rsidP="00616DA4">
            <w:pPr>
              <w:rPr>
                <w:rFonts w:eastAsia="Times New Roman" w:cs="Arial"/>
                <w:color w:val="000000"/>
                <w:sz w:val="22"/>
                <w:lang w:eastAsia="en-GB"/>
              </w:rPr>
            </w:pPr>
            <w:r w:rsidRPr="007A0554">
              <w:rPr>
                <w:rFonts w:eastAsia="Times New Roman" w:cs="Arial"/>
                <w:color w:val="000000"/>
                <w:sz w:val="22"/>
                <w:lang w:eastAsia="en-GB"/>
              </w:rPr>
              <w:t>Professionals (Education)</w:t>
            </w:r>
          </w:p>
        </w:tc>
        <w:tc>
          <w:tcPr>
            <w:tcW w:w="1134" w:type="dxa"/>
            <w:tcBorders>
              <w:top w:val="nil"/>
              <w:left w:val="single" w:sz="4" w:space="0" w:color="auto"/>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5</w:t>
            </w:r>
          </w:p>
        </w:tc>
        <w:tc>
          <w:tcPr>
            <w:tcW w:w="1134"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0</w:t>
            </w:r>
          </w:p>
        </w:tc>
        <w:tc>
          <w:tcPr>
            <w:tcW w:w="1276"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6</w:t>
            </w:r>
          </w:p>
        </w:tc>
        <w:tc>
          <w:tcPr>
            <w:tcW w:w="1417" w:type="dxa"/>
            <w:tcBorders>
              <w:top w:val="nil"/>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11</w:t>
            </w:r>
          </w:p>
        </w:tc>
      </w:tr>
      <w:tr w:rsidR="00616DA4" w:rsidTr="00616DA4">
        <w:trPr>
          <w:tblHeader/>
        </w:trPr>
        <w:tc>
          <w:tcPr>
            <w:tcW w:w="4673" w:type="dxa"/>
            <w:vAlign w:val="bottom"/>
          </w:tcPr>
          <w:p w:rsidR="00616DA4" w:rsidRPr="007A0554" w:rsidRDefault="00616DA4" w:rsidP="00616DA4">
            <w:pPr>
              <w:rPr>
                <w:rFonts w:eastAsia="Times New Roman" w:cs="Arial"/>
                <w:color w:val="000000"/>
                <w:sz w:val="22"/>
                <w:lang w:eastAsia="en-GB"/>
              </w:rPr>
            </w:pPr>
            <w:r w:rsidRPr="007A0554">
              <w:rPr>
                <w:rFonts w:eastAsia="Times New Roman" w:cs="Arial"/>
                <w:color w:val="000000"/>
                <w:sz w:val="22"/>
                <w:lang w:eastAsia="en-GB"/>
              </w:rPr>
              <w:t xml:space="preserve">Professionals (Social Care </w:t>
            </w:r>
            <w:proofErr w:type="spellStart"/>
            <w:r w:rsidRPr="007A0554">
              <w:rPr>
                <w:rFonts w:eastAsia="Times New Roman" w:cs="Arial"/>
                <w:color w:val="000000"/>
                <w:sz w:val="22"/>
                <w:lang w:eastAsia="en-GB"/>
              </w:rPr>
              <w:t>i.e</w:t>
            </w:r>
            <w:proofErr w:type="spellEnd"/>
            <w:r w:rsidRPr="007A0554">
              <w:rPr>
                <w:rFonts w:eastAsia="Times New Roman" w:cs="Arial"/>
                <w:color w:val="000000"/>
                <w:sz w:val="22"/>
                <w:lang w:eastAsia="en-GB"/>
              </w:rPr>
              <w:t xml:space="preserve"> FPS)</w:t>
            </w:r>
          </w:p>
        </w:tc>
        <w:tc>
          <w:tcPr>
            <w:tcW w:w="1134" w:type="dxa"/>
            <w:tcBorders>
              <w:top w:val="nil"/>
              <w:left w:val="single" w:sz="4" w:space="0" w:color="auto"/>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0</w:t>
            </w:r>
          </w:p>
        </w:tc>
        <w:tc>
          <w:tcPr>
            <w:tcW w:w="1134"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w:t>
            </w:r>
          </w:p>
        </w:tc>
        <w:tc>
          <w:tcPr>
            <w:tcW w:w="1276"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0</w:t>
            </w:r>
          </w:p>
        </w:tc>
        <w:tc>
          <w:tcPr>
            <w:tcW w:w="1417" w:type="dxa"/>
            <w:tcBorders>
              <w:top w:val="nil"/>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1</w:t>
            </w:r>
          </w:p>
        </w:tc>
      </w:tr>
      <w:tr w:rsidR="00616DA4" w:rsidTr="00616DA4">
        <w:trPr>
          <w:tblHeader/>
        </w:trPr>
        <w:tc>
          <w:tcPr>
            <w:tcW w:w="4673" w:type="dxa"/>
            <w:vAlign w:val="bottom"/>
          </w:tcPr>
          <w:p w:rsidR="00616DA4" w:rsidRPr="007A0554" w:rsidRDefault="00616DA4" w:rsidP="00616DA4">
            <w:pPr>
              <w:rPr>
                <w:rFonts w:eastAsia="Times New Roman" w:cs="Arial"/>
                <w:color w:val="000000"/>
                <w:sz w:val="22"/>
                <w:lang w:eastAsia="en-GB"/>
              </w:rPr>
            </w:pPr>
            <w:r w:rsidRPr="007A0554">
              <w:rPr>
                <w:rFonts w:eastAsia="Times New Roman" w:cs="Arial"/>
                <w:color w:val="000000"/>
                <w:sz w:val="22"/>
                <w:lang w:eastAsia="en-GB"/>
              </w:rPr>
              <w:t>Professionals (Other)</w:t>
            </w:r>
          </w:p>
        </w:tc>
        <w:tc>
          <w:tcPr>
            <w:tcW w:w="1134" w:type="dxa"/>
            <w:tcBorders>
              <w:top w:val="nil"/>
              <w:left w:val="single" w:sz="4" w:space="0" w:color="auto"/>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3</w:t>
            </w:r>
          </w:p>
        </w:tc>
        <w:tc>
          <w:tcPr>
            <w:tcW w:w="1134"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0</w:t>
            </w:r>
          </w:p>
        </w:tc>
        <w:tc>
          <w:tcPr>
            <w:tcW w:w="1276"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w:t>
            </w:r>
          </w:p>
        </w:tc>
        <w:tc>
          <w:tcPr>
            <w:tcW w:w="1417" w:type="dxa"/>
            <w:tcBorders>
              <w:top w:val="nil"/>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4</w:t>
            </w:r>
          </w:p>
        </w:tc>
      </w:tr>
      <w:tr w:rsidR="00616DA4" w:rsidTr="00616DA4">
        <w:trPr>
          <w:tblHeader/>
        </w:trPr>
        <w:tc>
          <w:tcPr>
            <w:tcW w:w="4673" w:type="dxa"/>
            <w:vAlign w:val="bottom"/>
          </w:tcPr>
          <w:p w:rsidR="00616DA4" w:rsidRPr="007A0554" w:rsidRDefault="00616DA4" w:rsidP="00616DA4">
            <w:pPr>
              <w:rPr>
                <w:rFonts w:eastAsia="Times New Roman" w:cs="Arial"/>
                <w:color w:val="000000"/>
                <w:sz w:val="22"/>
                <w:lang w:eastAsia="en-GB"/>
              </w:rPr>
            </w:pPr>
            <w:r w:rsidRPr="007A0554">
              <w:rPr>
                <w:rFonts w:eastAsia="Times New Roman" w:cs="Arial"/>
                <w:color w:val="000000"/>
                <w:sz w:val="22"/>
                <w:lang w:eastAsia="en-GB"/>
              </w:rPr>
              <w:t>Calls / Emails for SENAT</w:t>
            </w:r>
          </w:p>
        </w:tc>
        <w:tc>
          <w:tcPr>
            <w:tcW w:w="1134" w:type="dxa"/>
            <w:tcBorders>
              <w:top w:val="nil"/>
              <w:left w:val="single" w:sz="4" w:space="0" w:color="auto"/>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13</w:t>
            </w:r>
          </w:p>
        </w:tc>
        <w:tc>
          <w:tcPr>
            <w:tcW w:w="1134"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12</w:t>
            </w:r>
          </w:p>
        </w:tc>
        <w:tc>
          <w:tcPr>
            <w:tcW w:w="1276"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16</w:t>
            </w:r>
          </w:p>
        </w:tc>
        <w:tc>
          <w:tcPr>
            <w:tcW w:w="1417" w:type="dxa"/>
            <w:tcBorders>
              <w:top w:val="nil"/>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41</w:t>
            </w:r>
          </w:p>
        </w:tc>
      </w:tr>
      <w:tr w:rsidR="00616DA4" w:rsidTr="00616DA4">
        <w:trPr>
          <w:tblHeader/>
        </w:trPr>
        <w:tc>
          <w:tcPr>
            <w:tcW w:w="4673" w:type="dxa"/>
            <w:vAlign w:val="bottom"/>
          </w:tcPr>
          <w:p w:rsidR="00616DA4" w:rsidRPr="007A0554" w:rsidRDefault="00616DA4" w:rsidP="00616DA4">
            <w:pPr>
              <w:rPr>
                <w:rFonts w:eastAsia="Times New Roman" w:cs="Arial"/>
                <w:color w:val="000000"/>
                <w:sz w:val="22"/>
                <w:lang w:eastAsia="en-GB"/>
              </w:rPr>
            </w:pPr>
            <w:r w:rsidRPr="007A0554">
              <w:rPr>
                <w:rFonts w:eastAsia="Times New Roman" w:cs="Arial"/>
                <w:color w:val="000000"/>
                <w:sz w:val="22"/>
                <w:lang w:eastAsia="en-GB"/>
              </w:rPr>
              <w:t xml:space="preserve">Calls / Emails </w:t>
            </w:r>
            <w:r w:rsidRPr="001A65C5">
              <w:rPr>
                <w:rFonts w:eastAsia="Times New Roman" w:cs="Arial"/>
                <w:color w:val="000000"/>
                <w:sz w:val="22"/>
                <w:lang w:eastAsia="en-GB"/>
              </w:rPr>
              <w:t>transferred to</w:t>
            </w:r>
            <w:r w:rsidRPr="007A0554">
              <w:rPr>
                <w:rFonts w:eastAsia="Times New Roman" w:cs="Arial"/>
                <w:color w:val="000000"/>
                <w:sz w:val="22"/>
                <w:lang w:eastAsia="en-GB"/>
              </w:rPr>
              <w:t xml:space="preserve"> Central Bedfordshire </w:t>
            </w:r>
            <w:r w:rsidRPr="001A65C5">
              <w:rPr>
                <w:rFonts w:eastAsia="Times New Roman" w:cs="Arial"/>
                <w:color w:val="000000"/>
                <w:sz w:val="22"/>
                <w:lang w:eastAsia="en-GB"/>
              </w:rPr>
              <w:t>SENDIAS</w:t>
            </w:r>
          </w:p>
        </w:tc>
        <w:tc>
          <w:tcPr>
            <w:tcW w:w="1134" w:type="dxa"/>
            <w:tcBorders>
              <w:top w:val="nil"/>
              <w:left w:val="single" w:sz="4" w:space="0" w:color="auto"/>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w:t>
            </w:r>
          </w:p>
        </w:tc>
        <w:tc>
          <w:tcPr>
            <w:tcW w:w="1134"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0</w:t>
            </w:r>
          </w:p>
        </w:tc>
        <w:tc>
          <w:tcPr>
            <w:tcW w:w="1276" w:type="dxa"/>
            <w:tcBorders>
              <w:top w:val="nil"/>
              <w:left w:val="nil"/>
              <w:bottom w:val="single" w:sz="4" w:space="0" w:color="auto"/>
              <w:right w:val="single" w:sz="4" w:space="0" w:color="auto"/>
            </w:tcBorders>
            <w:shd w:val="clear" w:color="auto" w:fill="auto"/>
            <w:vAlign w:val="bottom"/>
          </w:tcPr>
          <w:p w:rsidR="00616DA4" w:rsidRDefault="00616DA4" w:rsidP="00616DA4">
            <w:pPr>
              <w:jc w:val="center"/>
              <w:rPr>
                <w:rFonts w:ascii="Calibri" w:hAnsi="Calibri" w:cs="Calibri"/>
                <w:b/>
                <w:bCs/>
                <w:sz w:val="22"/>
              </w:rPr>
            </w:pPr>
            <w:r>
              <w:rPr>
                <w:rFonts w:ascii="Calibri" w:hAnsi="Calibri" w:cs="Calibri"/>
                <w:b/>
                <w:bCs/>
                <w:sz w:val="22"/>
              </w:rPr>
              <w:t>1</w:t>
            </w:r>
          </w:p>
        </w:tc>
        <w:tc>
          <w:tcPr>
            <w:tcW w:w="1417" w:type="dxa"/>
            <w:tcBorders>
              <w:top w:val="nil"/>
              <w:left w:val="nil"/>
              <w:bottom w:val="single" w:sz="4" w:space="0" w:color="auto"/>
              <w:right w:val="single" w:sz="4" w:space="0" w:color="auto"/>
            </w:tcBorders>
            <w:shd w:val="clear" w:color="000000" w:fill="FFC000"/>
            <w:vAlign w:val="bottom"/>
          </w:tcPr>
          <w:p w:rsidR="00616DA4" w:rsidRDefault="00616DA4" w:rsidP="00616DA4">
            <w:pPr>
              <w:jc w:val="center"/>
              <w:rPr>
                <w:rFonts w:ascii="Calibri" w:hAnsi="Calibri" w:cs="Calibri"/>
                <w:b/>
                <w:bCs/>
                <w:color w:val="000000"/>
                <w:sz w:val="22"/>
              </w:rPr>
            </w:pPr>
            <w:r>
              <w:rPr>
                <w:rFonts w:ascii="Calibri" w:hAnsi="Calibri" w:cs="Calibri"/>
                <w:b/>
                <w:bCs/>
                <w:color w:val="000000"/>
                <w:sz w:val="22"/>
              </w:rPr>
              <w:t>2</w:t>
            </w:r>
          </w:p>
        </w:tc>
      </w:tr>
    </w:tbl>
    <w:p w:rsidR="00125586" w:rsidRDefault="00125586" w:rsidP="00C03CCC">
      <w:pPr>
        <w:jc w:val="both"/>
        <w:rPr>
          <w:rFonts w:cs="Arial"/>
          <w:noProof/>
          <w:szCs w:val="24"/>
          <w:lang w:eastAsia="en-GB"/>
        </w:rPr>
      </w:pPr>
    </w:p>
    <w:p w:rsidR="00C03CCC" w:rsidRDefault="00C03CCC" w:rsidP="00C03CCC">
      <w:pPr>
        <w:jc w:val="both"/>
        <w:rPr>
          <w:rFonts w:cs="Arial"/>
          <w:noProof/>
          <w:szCs w:val="24"/>
          <w:lang w:eastAsia="en-GB"/>
        </w:rPr>
      </w:pPr>
      <w:r>
        <w:rPr>
          <w:rFonts w:cs="Arial"/>
          <w:noProof/>
          <w:szCs w:val="24"/>
          <w:lang w:eastAsia="en-GB"/>
        </w:rPr>
        <w:t>Figure 1</w:t>
      </w:r>
      <w:r w:rsidRPr="00C03CCC">
        <w:rPr>
          <w:sz w:val="28"/>
        </w:rPr>
        <w:t xml:space="preserve"> </w:t>
      </w:r>
      <w:r w:rsidRPr="00C03CCC">
        <w:rPr>
          <w:rFonts w:cs="Arial"/>
          <w:noProof/>
          <w:szCs w:val="24"/>
          <w:lang w:eastAsia="en-GB"/>
        </w:rPr>
        <w:t xml:space="preserve">provides </w:t>
      </w:r>
      <w:r>
        <w:rPr>
          <w:rFonts w:cs="Arial"/>
          <w:noProof/>
          <w:szCs w:val="24"/>
          <w:lang w:eastAsia="en-GB"/>
        </w:rPr>
        <w:t>a comparison of both</w:t>
      </w:r>
      <w:r w:rsidRPr="00C03CCC">
        <w:rPr>
          <w:rFonts w:cs="Arial"/>
          <w:noProof/>
          <w:szCs w:val="24"/>
          <w:lang w:eastAsia="en-GB"/>
        </w:rPr>
        <w:t xml:space="preserve"> of new enquiries and existing enquiries to the service </w:t>
      </w:r>
      <w:r>
        <w:rPr>
          <w:rFonts w:cs="Arial"/>
          <w:noProof/>
          <w:szCs w:val="24"/>
          <w:lang w:eastAsia="en-GB"/>
        </w:rPr>
        <w:t xml:space="preserve">between </w:t>
      </w:r>
      <w:r w:rsidRPr="00C03CCC">
        <w:rPr>
          <w:rFonts w:cs="Arial"/>
          <w:noProof/>
          <w:szCs w:val="24"/>
          <w:lang w:eastAsia="en-GB"/>
        </w:rPr>
        <w:t xml:space="preserve">2020 to 2023 </w:t>
      </w:r>
      <w:r w:rsidR="00EF1368">
        <w:rPr>
          <w:rFonts w:cs="Arial"/>
          <w:noProof/>
          <w:szCs w:val="24"/>
          <w:lang w:eastAsia="en-GB"/>
        </w:rPr>
        <w:t xml:space="preserve">quarter </w:t>
      </w:r>
      <w:r w:rsidR="001C20F7">
        <w:rPr>
          <w:rFonts w:cs="Arial"/>
          <w:noProof/>
          <w:szCs w:val="24"/>
          <w:lang w:eastAsia="en-GB"/>
        </w:rPr>
        <w:t>three</w:t>
      </w:r>
      <w:r>
        <w:rPr>
          <w:rFonts w:cs="Arial"/>
          <w:noProof/>
          <w:szCs w:val="24"/>
          <w:lang w:eastAsia="en-GB"/>
        </w:rPr>
        <w:t xml:space="preserve">. </w:t>
      </w:r>
    </w:p>
    <w:p w:rsidR="00F84EB0" w:rsidRDefault="00F84EB0" w:rsidP="00C03CCC">
      <w:pPr>
        <w:pStyle w:val="Heading2"/>
        <w:rPr>
          <w:sz w:val="22"/>
          <w:szCs w:val="22"/>
        </w:rPr>
      </w:pPr>
      <w:r w:rsidRPr="00125586">
        <w:rPr>
          <w:sz w:val="22"/>
          <w:szCs w:val="22"/>
        </w:rPr>
        <w:t>Figure 1:0 Summary of the number of new enquiries and existing enquiries to the service 2020 to 202</w:t>
      </w:r>
      <w:r w:rsidR="004B56E0" w:rsidRPr="00125586">
        <w:rPr>
          <w:sz w:val="22"/>
          <w:szCs w:val="22"/>
        </w:rPr>
        <w:t>3 Q</w:t>
      </w:r>
      <w:r w:rsidR="001C20F7">
        <w:rPr>
          <w:sz w:val="22"/>
          <w:szCs w:val="22"/>
        </w:rPr>
        <w:t>3</w:t>
      </w:r>
      <w:r w:rsidRPr="00125586">
        <w:rPr>
          <w:sz w:val="22"/>
          <w:szCs w:val="22"/>
        </w:rPr>
        <w:t>.</w:t>
      </w:r>
    </w:p>
    <w:p w:rsidR="00DC359C" w:rsidRPr="00DC359C" w:rsidRDefault="00DC359C" w:rsidP="00DC359C"/>
    <w:p w:rsidR="00616DA4" w:rsidRPr="00616DA4" w:rsidRDefault="00A27665" w:rsidP="00616DA4">
      <w:r>
        <w:rPr>
          <w:noProof/>
          <w:lang w:eastAsia="en-GB"/>
        </w:rPr>
        <w:lastRenderedPageBreak/>
        <w:drawing>
          <wp:inline distT="0" distB="0" distL="0" distR="0" wp14:anchorId="161C31DB">
            <wp:extent cx="3762148" cy="1855305"/>
            <wp:effectExtent l="0" t="0" r="0" b="0"/>
            <wp:docPr id="23" name="Picture 23" descr="A bar chart that summarises the average number of new and exisitng casework undertaken by the SENDIAS service from 2020 to 2023 quarter three." title="SENDIAS service 2020 to 2023 quarter one average new and exiting casework undert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8496" cy="1883093"/>
                    </a:xfrm>
                    <a:prstGeom prst="rect">
                      <a:avLst/>
                    </a:prstGeom>
                    <a:noFill/>
                  </pic:spPr>
                </pic:pic>
              </a:graphicData>
            </a:graphic>
          </wp:inline>
        </w:drawing>
      </w:r>
    </w:p>
    <w:p w:rsidR="00B57AC2" w:rsidRPr="00B57AC2" w:rsidRDefault="00B57AC2" w:rsidP="00B57AC2"/>
    <w:p w:rsidR="009C12EC" w:rsidRPr="00FB7B03" w:rsidRDefault="00C03CCC" w:rsidP="004F6920">
      <w:pPr>
        <w:jc w:val="both"/>
        <w:rPr>
          <w:rFonts w:cs="Arial"/>
        </w:rPr>
      </w:pPr>
      <w:r>
        <w:rPr>
          <w:rFonts w:cs="Arial"/>
        </w:rPr>
        <w:t>For enquires</w:t>
      </w:r>
      <w:r w:rsidR="00100C3C" w:rsidRPr="00837DD9">
        <w:rPr>
          <w:rFonts w:cs="Arial"/>
        </w:rPr>
        <w:t xml:space="preserve"> to the service by age group</w:t>
      </w:r>
      <w:r>
        <w:rPr>
          <w:rFonts w:cs="Arial"/>
        </w:rPr>
        <w:t xml:space="preserve"> for quarter </w:t>
      </w:r>
      <w:r w:rsidR="001C20F7">
        <w:rPr>
          <w:rFonts w:cs="Arial"/>
        </w:rPr>
        <w:t>three</w:t>
      </w:r>
      <w:r>
        <w:rPr>
          <w:rFonts w:cs="Arial"/>
        </w:rPr>
        <w:t xml:space="preserve"> 2023</w:t>
      </w:r>
      <w:r w:rsidR="00100C3C">
        <w:rPr>
          <w:rFonts w:cs="Arial"/>
        </w:rPr>
        <w:t xml:space="preserve">, see figure </w:t>
      </w:r>
      <w:r w:rsidR="00297529">
        <w:rPr>
          <w:rFonts w:cs="Arial"/>
        </w:rPr>
        <w:t>2</w:t>
      </w:r>
      <w:r w:rsidR="00DF1B98">
        <w:rPr>
          <w:rFonts w:cs="Arial"/>
        </w:rPr>
        <w:t xml:space="preserve">. </w:t>
      </w:r>
    </w:p>
    <w:p w:rsidR="001E4519" w:rsidRDefault="001E4519" w:rsidP="00125586">
      <w:pPr>
        <w:pStyle w:val="Heading2"/>
        <w:rPr>
          <w:sz w:val="22"/>
          <w:szCs w:val="22"/>
        </w:rPr>
      </w:pPr>
      <w:r w:rsidRPr="00125586">
        <w:rPr>
          <w:sz w:val="22"/>
          <w:szCs w:val="22"/>
        </w:rPr>
        <w:t xml:space="preserve">Figure </w:t>
      </w:r>
      <w:r w:rsidR="00297529" w:rsidRPr="00125586">
        <w:rPr>
          <w:sz w:val="22"/>
          <w:szCs w:val="22"/>
        </w:rPr>
        <w:t>2</w:t>
      </w:r>
      <w:r w:rsidRPr="00125586">
        <w:rPr>
          <w:sz w:val="22"/>
          <w:szCs w:val="22"/>
        </w:rPr>
        <w:t>:0: SENDIAS 202</w:t>
      </w:r>
      <w:r w:rsidR="001C20F7">
        <w:rPr>
          <w:sz w:val="22"/>
          <w:szCs w:val="22"/>
        </w:rPr>
        <w:t>3</w:t>
      </w:r>
      <w:r w:rsidR="00EA7777" w:rsidRPr="00125586">
        <w:rPr>
          <w:sz w:val="22"/>
          <w:szCs w:val="22"/>
        </w:rPr>
        <w:t xml:space="preserve">- </w:t>
      </w:r>
      <w:r w:rsidRPr="00125586">
        <w:rPr>
          <w:sz w:val="22"/>
          <w:szCs w:val="22"/>
        </w:rPr>
        <w:t>new service users by age group</w:t>
      </w:r>
    </w:p>
    <w:p w:rsidR="003F2ED2" w:rsidRDefault="00616DA4" w:rsidP="00DC359C">
      <w:pPr>
        <w:jc w:val="center"/>
      </w:pPr>
      <w:r>
        <w:rPr>
          <w:noProof/>
          <w:lang w:eastAsia="en-GB"/>
        </w:rPr>
        <w:drawing>
          <wp:inline distT="0" distB="0" distL="0" distR="0" wp14:anchorId="71FA9C6F">
            <wp:extent cx="3306417" cy="2048389"/>
            <wp:effectExtent l="0" t="0" r="8890" b="9525"/>
            <wp:docPr id="8" name="Picture 8" descr="A bar chart that breaksdown enquires for quarter two into different age groups from, not given, pre-school, primary, secondary, sixth form and 19 to 25." title="SENDIAS service quarter three enquires by a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5611" cy="2060280"/>
                    </a:xfrm>
                    <a:prstGeom prst="rect">
                      <a:avLst/>
                    </a:prstGeom>
                    <a:noFill/>
                  </pic:spPr>
                </pic:pic>
              </a:graphicData>
            </a:graphic>
          </wp:inline>
        </w:drawing>
      </w:r>
    </w:p>
    <w:p w:rsidR="00B948A1" w:rsidRDefault="00F45A3A" w:rsidP="002A0243">
      <w:pPr>
        <w:jc w:val="both"/>
      </w:pPr>
      <w:r>
        <w:t>Table 2:0 provides a summary of the main S</w:t>
      </w:r>
      <w:r w:rsidR="007D7C8C">
        <w:t xml:space="preserve">pecial </w:t>
      </w:r>
      <w:r>
        <w:t>E</w:t>
      </w:r>
      <w:r w:rsidR="007D7C8C">
        <w:t xml:space="preserve">ducational </w:t>
      </w:r>
      <w:r>
        <w:t>N</w:t>
      </w:r>
      <w:r w:rsidR="007D7C8C">
        <w:t xml:space="preserve">eeds and/or </w:t>
      </w:r>
      <w:r>
        <w:t>D</w:t>
      </w:r>
      <w:r w:rsidR="007D7C8C">
        <w:t>isabilities (SEND)</w:t>
      </w:r>
      <w:r>
        <w:t xml:space="preserve"> identified by the service user</w:t>
      </w:r>
      <w:r w:rsidR="00481647">
        <w:t xml:space="preserve"> for all new enquiries during </w:t>
      </w:r>
      <w:r w:rsidR="00C03CCC">
        <w:t xml:space="preserve">quarter </w:t>
      </w:r>
      <w:r w:rsidR="000D094F">
        <w:t>two</w:t>
      </w:r>
      <w:r w:rsidR="00481647">
        <w:t xml:space="preserve">. Below </w:t>
      </w:r>
      <w:r w:rsidR="00481647">
        <w:lastRenderedPageBreak/>
        <w:t xml:space="preserve">are the categories currently available on our data system. The main presenting SEN is recorded in relation to what the service user identifies as the main presenting need. Additional SEN is also recorded. </w:t>
      </w:r>
    </w:p>
    <w:p w:rsidR="00B948A1" w:rsidRDefault="00B948A1" w:rsidP="00125586">
      <w:pPr>
        <w:pStyle w:val="Heading2"/>
        <w:rPr>
          <w:sz w:val="22"/>
          <w:szCs w:val="22"/>
        </w:rPr>
      </w:pPr>
      <w:r w:rsidRPr="00125586">
        <w:rPr>
          <w:sz w:val="22"/>
          <w:szCs w:val="22"/>
        </w:rPr>
        <w:t xml:space="preserve">Table 2:0 </w:t>
      </w:r>
      <w:r w:rsidR="00EA7777" w:rsidRPr="00125586">
        <w:rPr>
          <w:sz w:val="22"/>
          <w:szCs w:val="22"/>
        </w:rPr>
        <w:t>202</w:t>
      </w:r>
      <w:r w:rsidR="00831DDC" w:rsidRPr="00125586">
        <w:rPr>
          <w:sz w:val="22"/>
          <w:szCs w:val="22"/>
        </w:rPr>
        <w:t>3</w:t>
      </w:r>
      <w:r w:rsidR="00EA7777" w:rsidRPr="00125586">
        <w:rPr>
          <w:sz w:val="22"/>
          <w:szCs w:val="22"/>
        </w:rPr>
        <w:t xml:space="preserve"> -</w:t>
      </w:r>
      <w:r w:rsidRPr="00125586">
        <w:rPr>
          <w:sz w:val="22"/>
          <w:szCs w:val="22"/>
        </w:rPr>
        <w:t xml:space="preserve"> new referrals by main SEN.</w:t>
      </w:r>
    </w:p>
    <w:tbl>
      <w:tblPr>
        <w:tblStyle w:val="TableGrid"/>
        <w:tblW w:w="0" w:type="auto"/>
        <w:tblLook w:val="04A0" w:firstRow="1" w:lastRow="0" w:firstColumn="1" w:lastColumn="0" w:noHBand="0" w:noVBand="1"/>
        <w:tblCaption w:val="Table 2:0 New referrals for 2022 by main reported SEND."/>
        <w:tblDescription w:val="A table summarising new referrals received by the service by main reported SEND for 2022."/>
      </w:tblPr>
      <w:tblGrid>
        <w:gridCol w:w="7366"/>
        <w:gridCol w:w="3090"/>
      </w:tblGrid>
      <w:tr w:rsidR="00D97D7E" w:rsidTr="00F608DC">
        <w:trPr>
          <w:tblHeader/>
        </w:trPr>
        <w:tc>
          <w:tcPr>
            <w:tcW w:w="7366" w:type="dxa"/>
            <w:tcBorders>
              <w:bottom w:val="single" w:sz="4" w:space="0" w:color="auto"/>
            </w:tcBorders>
            <w:shd w:val="clear" w:color="auto" w:fill="BFBFBF" w:themeFill="background1" w:themeFillShade="BF"/>
          </w:tcPr>
          <w:p w:rsidR="00D97D7E" w:rsidRDefault="00D97D7E" w:rsidP="000D094F">
            <w:r w:rsidRPr="00337AF6">
              <w:t>Number of New Referrals By Main SEND 202</w:t>
            </w:r>
            <w:r w:rsidR="000D094F">
              <w:t>3</w:t>
            </w:r>
          </w:p>
        </w:tc>
        <w:tc>
          <w:tcPr>
            <w:tcW w:w="3090" w:type="dxa"/>
            <w:tcBorders>
              <w:bottom w:val="single" w:sz="4" w:space="0" w:color="auto"/>
            </w:tcBorders>
            <w:shd w:val="clear" w:color="auto" w:fill="BFBFBF" w:themeFill="background1" w:themeFillShade="BF"/>
          </w:tcPr>
          <w:p w:rsidR="00D97D7E" w:rsidRDefault="00D97D7E" w:rsidP="00D97D7E">
            <w:r w:rsidRPr="00337AF6">
              <w:t>Number of referrals</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ADD/ADHD</w:t>
            </w: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22</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Autism</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7</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ASD</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27</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Behavioural (SEN)</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1</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Cognition and Learning</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3</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Communication and Interaction</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4</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Complex Needs</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2</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Developmental Delay</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6</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Dyslexia</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1</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Global Delay</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3</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Hearing Impairment</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3</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Language and Learning Difficulties</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1</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Medical - Brain Injury</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1</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Medical - Cerebral Palsy</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1</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 xml:space="preserve">Medical - </w:t>
            </w:r>
            <w:proofErr w:type="spellStart"/>
            <w:r w:rsidRPr="000F3859">
              <w:t>Irlen</w:t>
            </w:r>
            <w:proofErr w:type="spellEnd"/>
            <w:r w:rsidRPr="000F3859">
              <w:t xml:space="preserve"> Syndrome</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1</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Medical - Multiple</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4</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 xml:space="preserve">Medical - </w:t>
            </w:r>
            <w:proofErr w:type="spellStart"/>
            <w:r w:rsidRPr="000F3859">
              <w:t>Spina</w:t>
            </w:r>
            <w:proofErr w:type="spellEnd"/>
            <w:r w:rsidRPr="000F3859">
              <w:t xml:space="preserve"> Bifida</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1</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Medical - Other (not listed)</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4</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SALT - Delayed Speech</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5</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SEMH</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3</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SEMH - Anxiety</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8</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Sensory and / Physical</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2</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Tourette's / Tics</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1</w:t>
            </w:r>
          </w:p>
        </w:tc>
      </w:tr>
      <w:tr w:rsidR="000F3859" w:rsidTr="000F3859">
        <w:tc>
          <w:tcPr>
            <w:tcW w:w="7366" w:type="dxa"/>
            <w:tcBorders>
              <w:top w:val="single" w:sz="4" w:space="0" w:color="auto"/>
              <w:left w:val="single" w:sz="4" w:space="0" w:color="auto"/>
              <w:bottom w:val="single" w:sz="4" w:space="0" w:color="auto"/>
              <w:right w:val="single" w:sz="4" w:space="0" w:color="auto"/>
            </w:tcBorders>
            <w:shd w:val="clear" w:color="auto" w:fill="auto"/>
            <w:vAlign w:val="bottom"/>
          </w:tcPr>
          <w:p w:rsidR="000F3859" w:rsidRPr="000F3859" w:rsidRDefault="000F3859" w:rsidP="000F3859">
            <w:r w:rsidRPr="000F3859">
              <w:t xml:space="preserve">Unknown </w:t>
            </w:r>
          </w:p>
        </w:tc>
        <w:tc>
          <w:tcPr>
            <w:tcW w:w="3090"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jc w:val="center"/>
            </w:pPr>
            <w:r w:rsidRPr="000F3859">
              <w:t>27</w:t>
            </w:r>
          </w:p>
        </w:tc>
      </w:tr>
    </w:tbl>
    <w:p w:rsidR="005A3DEA" w:rsidRDefault="005A3DEA" w:rsidP="005A3DEA"/>
    <w:p w:rsidR="00481647" w:rsidRDefault="00481647" w:rsidP="00033EBA">
      <w:pPr>
        <w:jc w:val="both"/>
      </w:pPr>
      <w:r>
        <w:lastRenderedPageBreak/>
        <w:t>Table 3:0 provides a summary of new referrals received to the service during</w:t>
      </w:r>
      <w:r w:rsidR="00C03CCC">
        <w:t xml:space="preserve"> quarter </w:t>
      </w:r>
      <w:r w:rsidR="000D094F">
        <w:t>two</w:t>
      </w:r>
      <w:r>
        <w:t xml:space="preserve"> </w:t>
      </w:r>
      <w:r w:rsidR="005415E6">
        <w:t>202</w:t>
      </w:r>
      <w:r w:rsidR="00C03CCC">
        <w:t>3</w:t>
      </w:r>
      <w:r w:rsidR="00226B52">
        <w:t xml:space="preserve"> </w:t>
      </w:r>
      <w:r>
        <w:t xml:space="preserve">by ethnic groups. </w:t>
      </w:r>
      <w:r w:rsidR="005415E6">
        <w:t>The ethnic groups below represent the current ethnic groups that service users currently identify themselves as. At the start of 202</w:t>
      </w:r>
      <w:r w:rsidR="00D63A17">
        <w:t>2</w:t>
      </w:r>
      <w:r w:rsidR="005415E6">
        <w:t xml:space="preserve"> changes to the services data reporting were introduced</w:t>
      </w:r>
      <w:r w:rsidR="00161467">
        <w:t>,</w:t>
      </w:r>
      <w:r w:rsidR="005415E6">
        <w:t xml:space="preserve"> therefore comparable data for contact to the service by ethnicity isn’t available.</w:t>
      </w:r>
    </w:p>
    <w:p w:rsidR="00B948A1" w:rsidRDefault="00B948A1" w:rsidP="00125586">
      <w:pPr>
        <w:pStyle w:val="Heading2"/>
        <w:rPr>
          <w:sz w:val="22"/>
          <w:szCs w:val="22"/>
        </w:rPr>
      </w:pPr>
      <w:r w:rsidRPr="00125586">
        <w:rPr>
          <w:sz w:val="22"/>
          <w:szCs w:val="22"/>
        </w:rPr>
        <w:lastRenderedPageBreak/>
        <w:t>Table 3:0</w:t>
      </w:r>
      <w:r w:rsidR="007D7C8C" w:rsidRPr="00125586">
        <w:rPr>
          <w:sz w:val="22"/>
          <w:szCs w:val="22"/>
        </w:rPr>
        <w:t>: New</w:t>
      </w:r>
      <w:r w:rsidRPr="00125586">
        <w:rPr>
          <w:sz w:val="22"/>
          <w:szCs w:val="22"/>
        </w:rPr>
        <w:t xml:space="preserve"> referrals by </w:t>
      </w:r>
      <w:r w:rsidR="007D7C8C" w:rsidRPr="00125586">
        <w:rPr>
          <w:sz w:val="22"/>
          <w:szCs w:val="22"/>
        </w:rPr>
        <w:t xml:space="preserve">Ethnic Group </w:t>
      </w:r>
      <w:r w:rsidR="00C03CCC" w:rsidRPr="00125586">
        <w:rPr>
          <w:sz w:val="22"/>
          <w:szCs w:val="22"/>
        </w:rPr>
        <w:t xml:space="preserve">quarter </w:t>
      </w:r>
      <w:r w:rsidR="001C20F7">
        <w:rPr>
          <w:sz w:val="22"/>
          <w:szCs w:val="22"/>
        </w:rPr>
        <w:t>3</w:t>
      </w:r>
      <w:r w:rsidR="00C03CCC" w:rsidRPr="00125586">
        <w:rPr>
          <w:sz w:val="22"/>
          <w:szCs w:val="22"/>
        </w:rPr>
        <w:t xml:space="preserve"> </w:t>
      </w:r>
      <w:r w:rsidR="007D7C8C" w:rsidRPr="00125586">
        <w:rPr>
          <w:sz w:val="22"/>
          <w:szCs w:val="22"/>
        </w:rPr>
        <w:t>202</w:t>
      </w:r>
      <w:r w:rsidR="00C03CCC" w:rsidRPr="00125586">
        <w:rPr>
          <w:sz w:val="22"/>
          <w:szCs w:val="22"/>
        </w:rPr>
        <w:t>3</w:t>
      </w:r>
      <w:r w:rsidRPr="00125586">
        <w:rPr>
          <w:sz w:val="22"/>
          <w:szCs w:val="22"/>
        </w:rPr>
        <w:t>.</w:t>
      </w:r>
    </w:p>
    <w:tbl>
      <w:tblPr>
        <w:tblStyle w:val="TableGrid"/>
        <w:tblW w:w="10456" w:type="dxa"/>
        <w:tblLook w:val="04A0" w:firstRow="1" w:lastRow="0" w:firstColumn="1" w:lastColumn="0" w:noHBand="0" w:noVBand="1"/>
        <w:tblCaption w:val="Table 3:0 New referrals by ethnic group 2022."/>
        <w:tblDescription w:val="A table that summarises new referrals to the service during 2022 by ethnic group."/>
      </w:tblPr>
      <w:tblGrid>
        <w:gridCol w:w="5807"/>
        <w:gridCol w:w="4649"/>
      </w:tblGrid>
      <w:tr w:rsidR="00203EDF" w:rsidTr="00EF254F">
        <w:trPr>
          <w:tblHeader/>
        </w:trPr>
        <w:tc>
          <w:tcPr>
            <w:tcW w:w="5807" w:type="dxa"/>
            <w:shd w:val="clear" w:color="auto" w:fill="BFBFBF" w:themeFill="background1" w:themeFillShade="BF"/>
            <w:vAlign w:val="bottom"/>
          </w:tcPr>
          <w:p w:rsidR="00203EDF" w:rsidRDefault="00203EDF" w:rsidP="00203EDF">
            <w:r w:rsidRPr="00DE1776">
              <w:rPr>
                <w:rFonts w:eastAsia="Times New Roman" w:cs="Arial"/>
                <w:b/>
                <w:bCs/>
                <w:color w:val="000000"/>
                <w:sz w:val="22"/>
                <w:lang w:eastAsia="en-GB"/>
              </w:rPr>
              <w:t>Referrals By Ethnic Group</w:t>
            </w:r>
          </w:p>
        </w:tc>
        <w:tc>
          <w:tcPr>
            <w:tcW w:w="4649" w:type="dxa"/>
            <w:shd w:val="clear" w:color="auto" w:fill="BFBFBF" w:themeFill="background1" w:themeFillShade="BF"/>
            <w:vAlign w:val="bottom"/>
          </w:tcPr>
          <w:p w:rsidR="00203EDF" w:rsidRDefault="00203EDF" w:rsidP="002D5ECD">
            <w:pPr>
              <w:jc w:val="center"/>
            </w:pPr>
            <w:r w:rsidRPr="00DE1776">
              <w:rPr>
                <w:rFonts w:eastAsia="Times New Roman" w:cs="Arial"/>
                <w:b/>
                <w:bCs/>
                <w:color w:val="000000"/>
                <w:sz w:val="22"/>
                <w:lang w:eastAsia="en-GB"/>
              </w:rPr>
              <w:t>Number of Referrals</w:t>
            </w:r>
          </w:p>
        </w:tc>
      </w:tr>
      <w:tr w:rsidR="000F3859" w:rsidTr="000F3859">
        <w:trPr>
          <w:tblHeader/>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African (Black) - Ghanaian</w:t>
            </w:r>
          </w:p>
        </w:tc>
        <w:tc>
          <w:tcPr>
            <w:tcW w:w="4649" w:type="dxa"/>
            <w:tcBorders>
              <w:top w:val="single" w:sz="4" w:space="0" w:color="auto"/>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African (Black) - Nigerian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3</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Black or Black British - Caribbean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Black or Black British - UK</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Any Other Mixed Background</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7</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Mixed White / Black African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Mixed White / Black Caribbean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4</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 xml:space="preserve">Mixed White / South Asian (Bangladeshi, Indian, Pakistani </w:t>
            </w:r>
            <w:proofErr w:type="spellStart"/>
            <w:r w:rsidRPr="000F3859">
              <w:rPr>
                <w:rFonts w:cs="Arial"/>
              </w:rPr>
              <w:t>etc</w:t>
            </w:r>
            <w:proofErr w:type="spellEnd"/>
            <w:r w:rsidRPr="000F3859">
              <w:rPr>
                <w:rFonts w:cs="Arial"/>
              </w:rPr>
              <w:t>)</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5</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South Asian or Asian British - Bangladeshi</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6</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South Asian or Asian British - Indian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3</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South Asian or Asian British - Pakistani</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31</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South Asian - Sri Lankan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1</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Any Other Asian Background</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White - British</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37</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White - Eastern European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1</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White - Irish</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1</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White - Other</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1</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White - Polish</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White - Romanian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1</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Pr>
                <w:rFonts w:cs="Arial"/>
              </w:rPr>
              <w:t>Unknown/ Not stated</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22</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Preferred not to answer</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1</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 xml:space="preserve">Any other Ethnic Group </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w:t>
            </w:r>
          </w:p>
        </w:tc>
      </w:tr>
      <w:tr w:rsidR="000F3859" w:rsidTr="000F3859">
        <w:trPr>
          <w:tblHeader/>
        </w:trPr>
        <w:tc>
          <w:tcPr>
            <w:tcW w:w="58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African (Black) - Ghanaian</w:t>
            </w:r>
          </w:p>
        </w:tc>
        <w:tc>
          <w:tcPr>
            <w:tcW w:w="4649" w:type="dxa"/>
            <w:tcBorders>
              <w:top w:val="single" w:sz="4" w:space="0" w:color="auto"/>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African (Black) - Nigerian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3</w:t>
            </w:r>
          </w:p>
        </w:tc>
      </w:tr>
      <w:tr w:rsidR="000F3859" w:rsidTr="000F3859">
        <w:trPr>
          <w:tblHeader/>
        </w:trPr>
        <w:tc>
          <w:tcPr>
            <w:tcW w:w="5807" w:type="dxa"/>
            <w:tcBorders>
              <w:top w:val="nil"/>
              <w:left w:val="single" w:sz="4" w:space="0" w:color="auto"/>
              <w:bottom w:val="single" w:sz="4" w:space="0" w:color="auto"/>
              <w:right w:val="single" w:sz="4" w:space="0" w:color="auto"/>
            </w:tcBorders>
            <w:shd w:val="clear" w:color="auto" w:fill="FFFFFF" w:themeFill="background1"/>
            <w:vAlign w:val="bottom"/>
          </w:tcPr>
          <w:p w:rsidR="000F3859" w:rsidRPr="000F3859" w:rsidRDefault="000F3859" w:rsidP="000F3859">
            <w:pPr>
              <w:rPr>
                <w:rFonts w:cs="Arial"/>
              </w:rPr>
            </w:pPr>
            <w:r w:rsidRPr="000F3859">
              <w:rPr>
                <w:rFonts w:cs="Arial"/>
              </w:rPr>
              <w:t>Black or Black British - Caribbean</w:t>
            </w:r>
          </w:p>
        </w:tc>
        <w:tc>
          <w:tcPr>
            <w:tcW w:w="4649" w:type="dxa"/>
            <w:tcBorders>
              <w:top w:val="nil"/>
              <w:left w:val="nil"/>
              <w:bottom w:val="single" w:sz="4" w:space="0" w:color="auto"/>
              <w:right w:val="single" w:sz="4" w:space="0" w:color="auto"/>
            </w:tcBorders>
            <w:shd w:val="clear" w:color="auto" w:fill="FFFFFF" w:themeFill="background1"/>
            <w:vAlign w:val="bottom"/>
          </w:tcPr>
          <w:p w:rsidR="000F3859" w:rsidRPr="000F3859" w:rsidRDefault="000F3859" w:rsidP="000F3859">
            <w:pPr>
              <w:jc w:val="center"/>
              <w:rPr>
                <w:rFonts w:cs="Arial"/>
              </w:rPr>
            </w:pPr>
            <w:r w:rsidRPr="000F3859">
              <w:rPr>
                <w:rFonts w:cs="Arial"/>
              </w:rPr>
              <w:t>2</w:t>
            </w:r>
          </w:p>
        </w:tc>
      </w:tr>
    </w:tbl>
    <w:p w:rsidR="005A3DEA" w:rsidRDefault="005A3DEA" w:rsidP="005A3DEA"/>
    <w:p w:rsidR="00F9285E" w:rsidRDefault="00C03CCC" w:rsidP="00F9285E">
      <w:pPr>
        <w:jc w:val="both"/>
        <w:rPr>
          <w:rFonts w:cs="Arial"/>
        </w:rPr>
      </w:pPr>
      <w:r>
        <w:rPr>
          <w:rFonts w:cs="Arial"/>
        </w:rPr>
        <w:t xml:space="preserve">Figure </w:t>
      </w:r>
      <w:r w:rsidR="00297529">
        <w:rPr>
          <w:rFonts w:cs="Arial"/>
        </w:rPr>
        <w:t>3</w:t>
      </w:r>
      <w:r>
        <w:rPr>
          <w:rFonts w:cs="Arial"/>
        </w:rPr>
        <w:t xml:space="preserve"> provides a summary of new enquires during quarter </w:t>
      </w:r>
      <w:r w:rsidR="001C20F7">
        <w:rPr>
          <w:rFonts w:cs="Arial"/>
        </w:rPr>
        <w:t>three</w:t>
      </w:r>
      <w:r>
        <w:rPr>
          <w:rFonts w:cs="Arial"/>
        </w:rPr>
        <w:t xml:space="preserve"> by gender.</w:t>
      </w:r>
    </w:p>
    <w:p w:rsidR="001E4519" w:rsidRDefault="001E4519" w:rsidP="00F9285E">
      <w:pPr>
        <w:pStyle w:val="Heading2"/>
        <w:rPr>
          <w:sz w:val="22"/>
          <w:szCs w:val="22"/>
        </w:rPr>
      </w:pPr>
      <w:r w:rsidRPr="00125586">
        <w:rPr>
          <w:sz w:val="22"/>
          <w:szCs w:val="22"/>
        </w:rPr>
        <w:lastRenderedPageBreak/>
        <w:t xml:space="preserve">Figure </w:t>
      </w:r>
      <w:r w:rsidR="00297529" w:rsidRPr="00125586">
        <w:rPr>
          <w:sz w:val="22"/>
          <w:szCs w:val="22"/>
        </w:rPr>
        <w:t>3</w:t>
      </w:r>
      <w:r w:rsidRPr="00125586">
        <w:rPr>
          <w:sz w:val="22"/>
          <w:szCs w:val="22"/>
        </w:rPr>
        <w:t>:0 SENDIAS 202</w:t>
      </w:r>
      <w:r w:rsidR="00004DFF" w:rsidRPr="00125586">
        <w:rPr>
          <w:sz w:val="22"/>
          <w:szCs w:val="22"/>
        </w:rPr>
        <w:t>3 Q</w:t>
      </w:r>
      <w:r w:rsidR="001C20F7">
        <w:rPr>
          <w:sz w:val="22"/>
          <w:szCs w:val="22"/>
        </w:rPr>
        <w:t>3</w:t>
      </w:r>
      <w:r w:rsidRPr="00125586">
        <w:rPr>
          <w:sz w:val="22"/>
          <w:szCs w:val="22"/>
        </w:rPr>
        <w:t xml:space="preserve"> </w:t>
      </w:r>
      <w:r w:rsidR="00EA7777" w:rsidRPr="00125586">
        <w:rPr>
          <w:sz w:val="22"/>
          <w:szCs w:val="22"/>
        </w:rPr>
        <w:t xml:space="preserve">- </w:t>
      </w:r>
      <w:r w:rsidRPr="00125586">
        <w:rPr>
          <w:sz w:val="22"/>
          <w:szCs w:val="22"/>
        </w:rPr>
        <w:t xml:space="preserve">new </w:t>
      </w:r>
      <w:r w:rsidR="00C03CCC" w:rsidRPr="00125586">
        <w:rPr>
          <w:sz w:val="22"/>
          <w:szCs w:val="22"/>
        </w:rPr>
        <w:t xml:space="preserve">enquires </w:t>
      </w:r>
      <w:r w:rsidRPr="00125586">
        <w:rPr>
          <w:sz w:val="22"/>
          <w:szCs w:val="22"/>
        </w:rPr>
        <w:t>by gender</w:t>
      </w:r>
    </w:p>
    <w:p w:rsidR="007C3A99" w:rsidRPr="007C3A99" w:rsidRDefault="007C3A99" w:rsidP="007C3A99">
      <w:r>
        <w:rPr>
          <w:noProof/>
          <w:lang w:eastAsia="en-GB"/>
        </w:rPr>
        <w:drawing>
          <wp:inline distT="0" distB="0" distL="0" distR="0" wp14:anchorId="7452D8AE">
            <wp:extent cx="3377976" cy="2352261"/>
            <wp:effectExtent l="0" t="0" r="0" b="0"/>
            <wp:docPr id="10" name="Picture 10" descr="A pie chart discplaying new enquires by percentage of males, females and not provided. " title="SENDIAS service quarter three new equire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6042" cy="2364841"/>
                    </a:xfrm>
                    <a:prstGeom prst="rect">
                      <a:avLst/>
                    </a:prstGeom>
                    <a:noFill/>
                  </pic:spPr>
                </pic:pic>
              </a:graphicData>
            </a:graphic>
          </wp:inline>
        </w:drawing>
      </w:r>
    </w:p>
    <w:p w:rsidR="00B57AC2" w:rsidRPr="00B57AC2" w:rsidRDefault="00B57AC2" w:rsidP="00B57AC2"/>
    <w:p w:rsidR="00C03CCC" w:rsidRDefault="00C03CCC" w:rsidP="00C03CCC">
      <w:pPr>
        <w:jc w:val="both"/>
        <w:rPr>
          <w:noProof/>
          <w:lang w:eastAsia="en-GB"/>
        </w:rPr>
      </w:pPr>
      <w:r w:rsidRPr="00844D8B">
        <w:rPr>
          <w:sz w:val="22"/>
        </w:rPr>
        <w:t xml:space="preserve">Table </w:t>
      </w:r>
      <w:r w:rsidR="00297529">
        <w:rPr>
          <w:sz w:val="22"/>
        </w:rPr>
        <w:t>4</w:t>
      </w:r>
      <w:r w:rsidRPr="00844D8B">
        <w:rPr>
          <w:sz w:val="22"/>
        </w:rPr>
        <w:t>:0</w:t>
      </w:r>
      <w:r>
        <w:rPr>
          <w:sz w:val="22"/>
        </w:rPr>
        <w:t xml:space="preserve"> provides a summary of the referral source of new enquires to the service during quarter </w:t>
      </w:r>
      <w:r w:rsidR="000D094F">
        <w:rPr>
          <w:sz w:val="22"/>
        </w:rPr>
        <w:t>two</w:t>
      </w:r>
      <w:r>
        <w:rPr>
          <w:sz w:val="22"/>
        </w:rPr>
        <w:t>.</w:t>
      </w:r>
      <w:r w:rsidR="0029627F">
        <w:rPr>
          <w:sz w:val="22"/>
        </w:rPr>
        <w:t xml:space="preserve"> This is based on the options currently available on our reporting system. New sources are reviewed and added to reduce the potential number of unknown/other source reported.</w:t>
      </w:r>
      <w:r>
        <w:rPr>
          <w:sz w:val="22"/>
        </w:rPr>
        <w:t xml:space="preserve"> </w:t>
      </w:r>
    </w:p>
    <w:p w:rsidR="002507C1" w:rsidRPr="00125586" w:rsidRDefault="002507C1" w:rsidP="00125586">
      <w:pPr>
        <w:pStyle w:val="Heading2"/>
        <w:rPr>
          <w:sz w:val="22"/>
          <w:szCs w:val="22"/>
        </w:rPr>
      </w:pPr>
      <w:r w:rsidRPr="00125586">
        <w:rPr>
          <w:sz w:val="22"/>
          <w:szCs w:val="22"/>
        </w:rPr>
        <w:lastRenderedPageBreak/>
        <w:t xml:space="preserve">Table </w:t>
      </w:r>
      <w:r w:rsidR="00297529" w:rsidRPr="00125586">
        <w:rPr>
          <w:sz w:val="22"/>
          <w:szCs w:val="22"/>
        </w:rPr>
        <w:t>4</w:t>
      </w:r>
      <w:r w:rsidRPr="00125586">
        <w:rPr>
          <w:sz w:val="22"/>
          <w:szCs w:val="22"/>
        </w:rPr>
        <w:t xml:space="preserve">:0 Quarter </w:t>
      </w:r>
      <w:r w:rsidR="001C20F7">
        <w:rPr>
          <w:sz w:val="22"/>
          <w:szCs w:val="22"/>
        </w:rPr>
        <w:t>3</w:t>
      </w:r>
      <w:r w:rsidRPr="00125586">
        <w:rPr>
          <w:sz w:val="22"/>
          <w:szCs w:val="22"/>
        </w:rPr>
        <w:t xml:space="preserve"> new referrals source of client</w:t>
      </w:r>
    </w:p>
    <w:tbl>
      <w:tblPr>
        <w:tblStyle w:val="TableGrid"/>
        <w:tblW w:w="0" w:type="auto"/>
        <w:tblLook w:val="04A0" w:firstRow="1" w:lastRow="0" w:firstColumn="1" w:lastColumn="0" w:noHBand="0" w:noVBand="1"/>
        <w:tblCaption w:val="SENDIAS service referral source of new enqures for quarter one."/>
        <w:tblDescription w:val="A table that provides the number of referrals received in terms of how services users heard initial about the service."/>
      </w:tblPr>
      <w:tblGrid>
        <w:gridCol w:w="5228"/>
        <w:gridCol w:w="5228"/>
      </w:tblGrid>
      <w:tr w:rsidR="00004DFF" w:rsidTr="003C4058">
        <w:trPr>
          <w:tblHeader/>
        </w:trPr>
        <w:tc>
          <w:tcPr>
            <w:tcW w:w="5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04DFF" w:rsidRPr="00AD3B72" w:rsidRDefault="00004DFF" w:rsidP="00004DFF">
            <w:pPr>
              <w:rPr>
                <w:b/>
                <w:sz w:val="22"/>
              </w:rPr>
            </w:pPr>
            <w:r w:rsidRPr="00AD3B72">
              <w:rPr>
                <w:b/>
                <w:sz w:val="22"/>
              </w:rPr>
              <w:t>Referral Source of Client</w:t>
            </w:r>
          </w:p>
        </w:tc>
        <w:tc>
          <w:tcPr>
            <w:tcW w:w="522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004DFF" w:rsidRPr="00AD3B72" w:rsidRDefault="00004DFF" w:rsidP="00004DFF">
            <w:pPr>
              <w:rPr>
                <w:b/>
                <w:sz w:val="22"/>
              </w:rPr>
            </w:pPr>
            <w:r w:rsidRPr="00AD3B72">
              <w:rPr>
                <w:b/>
                <w:sz w:val="22"/>
              </w:rPr>
              <w:t>Total</w:t>
            </w:r>
            <w:r w:rsidR="0029627F" w:rsidRPr="00AD3B72">
              <w:rPr>
                <w:b/>
                <w:sz w:val="22"/>
              </w:rPr>
              <w:t xml:space="preserve"> number of referrals</w:t>
            </w:r>
          </w:p>
        </w:tc>
      </w:tr>
      <w:tr w:rsidR="00A56D71" w:rsidTr="003C4058">
        <w:trPr>
          <w:tblHeader/>
        </w:trPr>
        <w:tc>
          <w:tcPr>
            <w:tcW w:w="5228" w:type="dxa"/>
            <w:tcBorders>
              <w:top w:val="single" w:sz="4" w:space="0" w:color="auto"/>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Admissions (Local Authority)</w:t>
            </w:r>
          </w:p>
        </w:tc>
        <w:tc>
          <w:tcPr>
            <w:tcW w:w="5228" w:type="dxa"/>
            <w:tcBorders>
              <w:top w:val="single" w:sz="4" w:space="0" w:color="auto"/>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117E52">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CAMHS</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4</w:t>
            </w:r>
          </w:p>
        </w:tc>
      </w:tr>
      <w:tr w:rsidR="00A56D71" w:rsidTr="00117E52">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
                <w:bCs/>
                <w:color w:val="000000"/>
                <w:sz w:val="22"/>
              </w:rPr>
            </w:pPr>
            <w:r w:rsidRPr="00A56D71">
              <w:rPr>
                <w:rFonts w:cs="Arial"/>
                <w:b/>
                <w:bCs/>
                <w:color w:val="000000"/>
                <w:sz w:val="22"/>
              </w:rPr>
              <w:t>Edwin Lobo</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
                <w:bCs/>
                <w:color w:val="000000"/>
                <w:sz w:val="22"/>
              </w:rPr>
            </w:pPr>
            <w:r w:rsidRPr="00A56D71">
              <w:rPr>
                <w:rFonts w:cs="Arial"/>
                <w:b/>
                <w:bCs/>
                <w:color w:val="000000"/>
                <w:sz w:val="22"/>
              </w:rPr>
              <w:t>7</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Family Partnership Service</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Family Worker - School</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 xml:space="preserve">Family Worker - External </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Friend</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5</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
                <w:bCs/>
                <w:color w:val="000000"/>
                <w:sz w:val="22"/>
              </w:rPr>
            </w:pPr>
            <w:r w:rsidRPr="00A56D71">
              <w:rPr>
                <w:rFonts w:cs="Arial"/>
                <w:b/>
                <w:bCs/>
                <w:color w:val="000000"/>
                <w:sz w:val="22"/>
              </w:rPr>
              <w:t>Google</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
                <w:bCs/>
                <w:color w:val="000000"/>
                <w:sz w:val="22"/>
              </w:rPr>
            </w:pPr>
            <w:r w:rsidRPr="00A56D71">
              <w:rPr>
                <w:rFonts w:cs="Arial"/>
                <w:b/>
                <w:bCs/>
                <w:color w:val="000000"/>
                <w:sz w:val="22"/>
              </w:rPr>
              <w:t>6</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GP/Doctors Surgery</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Known - not yet listed</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
                <w:bCs/>
                <w:color w:val="000000"/>
                <w:sz w:val="22"/>
              </w:rPr>
            </w:pPr>
            <w:r w:rsidRPr="00A56D71">
              <w:rPr>
                <w:rFonts w:cs="Arial"/>
                <w:b/>
                <w:bCs/>
                <w:color w:val="000000"/>
                <w:sz w:val="22"/>
              </w:rPr>
              <w:t>LA/Council team not stated</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
                <w:bCs/>
                <w:color w:val="000000"/>
                <w:sz w:val="22"/>
              </w:rPr>
            </w:pPr>
            <w:r w:rsidRPr="00A56D71">
              <w:rPr>
                <w:rFonts w:cs="Arial"/>
                <w:b/>
                <w:bCs/>
                <w:color w:val="000000"/>
                <w:sz w:val="22"/>
              </w:rPr>
              <w:t>6</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More than one source</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 xml:space="preserve">Other LA </w:t>
            </w:r>
            <w:r>
              <w:rPr>
                <w:rFonts w:cs="Arial"/>
                <w:bCs/>
                <w:color w:val="000000"/>
                <w:sz w:val="22"/>
              </w:rPr>
              <w:t xml:space="preserve">SENDIAS </w:t>
            </w:r>
            <w:r w:rsidRPr="00A56D71">
              <w:rPr>
                <w:rFonts w:cs="Arial"/>
                <w:bCs/>
                <w:color w:val="000000"/>
                <w:sz w:val="22"/>
              </w:rPr>
              <w:t>Services</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Other Parents</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SALT</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School SENCO</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5</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
                <w:bCs/>
                <w:color w:val="000000"/>
                <w:sz w:val="22"/>
              </w:rPr>
            </w:pPr>
            <w:r w:rsidRPr="00A56D71">
              <w:rPr>
                <w:rFonts w:cs="Arial"/>
                <w:b/>
                <w:bCs/>
                <w:color w:val="000000"/>
                <w:sz w:val="22"/>
              </w:rPr>
              <w:t>School</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
                <w:bCs/>
                <w:color w:val="000000"/>
                <w:sz w:val="22"/>
              </w:rPr>
            </w:pPr>
            <w:r w:rsidRPr="00A56D71">
              <w:rPr>
                <w:rFonts w:cs="Arial"/>
                <w:b/>
                <w:bCs/>
                <w:color w:val="000000"/>
                <w:sz w:val="22"/>
              </w:rPr>
              <w:t>6</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SENAT</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4</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Service Leaflet</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Social Media</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Social Worker</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2</w:t>
            </w:r>
          </w:p>
        </w:tc>
      </w:tr>
      <w:tr w:rsidR="00A56D71" w:rsidTr="003C4058">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A56D71" w:rsidRPr="00A56D71" w:rsidRDefault="00A56D71" w:rsidP="00A56D71">
            <w:pPr>
              <w:rPr>
                <w:rFonts w:cs="Arial"/>
                <w:bCs/>
                <w:color w:val="000000"/>
                <w:sz w:val="22"/>
              </w:rPr>
            </w:pPr>
            <w:r w:rsidRPr="00A56D71">
              <w:rPr>
                <w:rFonts w:cs="Arial"/>
                <w:bCs/>
                <w:color w:val="000000"/>
                <w:sz w:val="22"/>
              </w:rPr>
              <w:t>Transition Team</w:t>
            </w:r>
          </w:p>
        </w:tc>
        <w:tc>
          <w:tcPr>
            <w:tcW w:w="5228" w:type="dxa"/>
            <w:tcBorders>
              <w:top w:val="nil"/>
              <w:left w:val="nil"/>
              <w:bottom w:val="single" w:sz="4" w:space="0" w:color="auto"/>
              <w:right w:val="single" w:sz="4" w:space="0" w:color="auto"/>
            </w:tcBorders>
            <w:shd w:val="clear" w:color="auto" w:fill="auto"/>
            <w:vAlign w:val="bottom"/>
          </w:tcPr>
          <w:p w:rsidR="00A56D71" w:rsidRPr="00A56D71" w:rsidRDefault="00A56D71" w:rsidP="00A56D71">
            <w:pPr>
              <w:jc w:val="center"/>
              <w:rPr>
                <w:rFonts w:cs="Arial"/>
                <w:bCs/>
                <w:color w:val="000000"/>
                <w:sz w:val="22"/>
              </w:rPr>
            </w:pPr>
            <w:r w:rsidRPr="00A56D71">
              <w:rPr>
                <w:rFonts w:cs="Arial"/>
                <w:bCs/>
                <w:color w:val="000000"/>
                <w:sz w:val="22"/>
              </w:rPr>
              <w:t>1</w:t>
            </w:r>
          </w:p>
        </w:tc>
      </w:tr>
      <w:tr w:rsidR="00A56D71" w:rsidRPr="00412A5C" w:rsidTr="00117E52">
        <w:trPr>
          <w:trHeight w:val="300"/>
          <w:tblHeader/>
        </w:trPr>
        <w:tc>
          <w:tcPr>
            <w:tcW w:w="5228" w:type="dxa"/>
            <w:tcBorders>
              <w:top w:val="nil"/>
              <w:left w:val="single" w:sz="4" w:space="0" w:color="auto"/>
              <w:bottom w:val="single" w:sz="4" w:space="0" w:color="auto"/>
              <w:right w:val="single" w:sz="4" w:space="0" w:color="auto"/>
            </w:tcBorders>
            <w:shd w:val="clear" w:color="auto" w:fill="auto"/>
            <w:noWrap/>
            <w:vAlign w:val="bottom"/>
          </w:tcPr>
          <w:p w:rsidR="00A56D71" w:rsidRPr="00A56D71" w:rsidRDefault="00A56D71" w:rsidP="00A56D71">
            <w:pPr>
              <w:rPr>
                <w:rFonts w:cs="Arial"/>
                <w:b/>
                <w:bCs/>
                <w:color w:val="000000"/>
                <w:sz w:val="22"/>
              </w:rPr>
            </w:pPr>
            <w:r w:rsidRPr="00A56D71">
              <w:rPr>
                <w:rFonts w:cs="Arial"/>
                <w:b/>
                <w:bCs/>
                <w:color w:val="000000"/>
                <w:sz w:val="22"/>
              </w:rPr>
              <w:t>Used Service Before</w:t>
            </w:r>
          </w:p>
        </w:tc>
        <w:tc>
          <w:tcPr>
            <w:tcW w:w="5228" w:type="dxa"/>
            <w:tcBorders>
              <w:top w:val="nil"/>
              <w:left w:val="nil"/>
              <w:bottom w:val="single" w:sz="4" w:space="0" w:color="auto"/>
              <w:right w:val="single" w:sz="4" w:space="0" w:color="auto"/>
            </w:tcBorders>
            <w:shd w:val="clear" w:color="auto" w:fill="auto"/>
            <w:noWrap/>
            <w:vAlign w:val="bottom"/>
          </w:tcPr>
          <w:p w:rsidR="00A56D71" w:rsidRPr="00A56D71" w:rsidRDefault="00A56D71" w:rsidP="00A56D71">
            <w:pPr>
              <w:jc w:val="center"/>
              <w:rPr>
                <w:rFonts w:cs="Arial"/>
                <w:b/>
                <w:bCs/>
                <w:color w:val="000000"/>
                <w:sz w:val="22"/>
              </w:rPr>
            </w:pPr>
            <w:r w:rsidRPr="00A56D71">
              <w:rPr>
                <w:rFonts w:cs="Arial"/>
                <w:b/>
                <w:bCs/>
                <w:color w:val="000000"/>
                <w:sz w:val="22"/>
              </w:rPr>
              <w:t>62</w:t>
            </w:r>
          </w:p>
        </w:tc>
      </w:tr>
    </w:tbl>
    <w:p w:rsidR="00004DFF" w:rsidRDefault="00004DFF" w:rsidP="002507C1">
      <w:pPr>
        <w:rPr>
          <w:sz w:val="22"/>
        </w:rPr>
      </w:pPr>
    </w:p>
    <w:p w:rsidR="00EF1368" w:rsidRDefault="00EF1368" w:rsidP="002507C1">
      <w:pPr>
        <w:rPr>
          <w:sz w:val="22"/>
        </w:rPr>
      </w:pPr>
      <w:r>
        <w:rPr>
          <w:sz w:val="22"/>
        </w:rPr>
        <w:t xml:space="preserve">From 2023 the service will monitor and report waiting times for new referral received. The service’s Service Level Agreement currently indicates a response time of 2-3 working days. Response times reported are for the length of time it takes for a service user to speak to a trained SENDIAS advisor. Please </w:t>
      </w:r>
      <w:r>
        <w:rPr>
          <w:sz w:val="22"/>
        </w:rPr>
        <w:lastRenderedPageBreak/>
        <w:t>note that not all enquires requir</w:t>
      </w:r>
      <w:r w:rsidR="0077315C">
        <w:rPr>
          <w:sz w:val="22"/>
        </w:rPr>
        <w:t xml:space="preserve">e the involvement of an advisor due to the nature of the initial enquiry. </w:t>
      </w:r>
    </w:p>
    <w:p w:rsidR="002507C1" w:rsidRPr="00125586" w:rsidRDefault="00EF1368" w:rsidP="00125586">
      <w:pPr>
        <w:pStyle w:val="Heading2"/>
        <w:rPr>
          <w:sz w:val="22"/>
          <w:szCs w:val="22"/>
        </w:rPr>
      </w:pPr>
      <w:r w:rsidRPr="00125586">
        <w:rPr>
          <w:sz w:val="22"/>
          <w:szCs w:val="22"/>
        </w:rPr>
        <w:t>Table 5:0 SENDIAS service w</w:t>
      </w:r>
      <w:r w:rsidR="002507C1" w:rsidRPr="00125586">
        <w:rPr>
          <w:sz w:val="22"/>
          <w:szCs w:val="22"/>
        </w:rPr>
        <w:t>aiting times</w:t>
      </w:r>
      <w:r w:rsidRPr="00125586">
        <w:rPr>
          <w:sz w:val="22"/>
          <w:szCs w:val="22"/>
        </w:rPr>
        <w:t xml:space="preserve"> for new referrals for quarter </w:t>
      </w:r>
      <w:r w:rsidR="001C20F7">
        <w:rPr>
          <w:sz w:val="22"/>
          <w:szCs w:val="22"/>
        </w:rPr>
        <w:t>3</w:t>
      </w:r>
      <w:r w:rsidRPr="00125586">
        <w:rPr>
          <w:sz w:val="22"/>
          <w:szCs w:val="22"/>
        </w:rPr>
        <w:t>.</w:t>
      </w:r>
    </w:p>
    <w:tbl>
      <w:tblPr>
        <w:tblStyle w:val="TableGrid"/>
        <w:tblW w:w="0" w:type="auto"/>
        <w:tblLook w:val="04A0" w:firstRow="1" w:lastRow="0" w:firstColumn="1" w:lastColumn="0" w:noHBand="0" w:noVBand="1"/>
        <w:tblCaption w:val="SENDIAS service waiting times for quarter one."/>
        <w:tblDescription w:val="A table that provides data on the waiting times for the quarter. For each month of the quarter the table stated the total number of cases where the service user had to wait more than three days to speak to an officer if requested. The table also states the average waiting time for an appointment with an officer for each month of the quarter."/>
      </w:tblPr>
      <w:tblGrid>
        <w:gridCol w:w="3486"/>
        <w:gridCol w:w="3485"/>
        <w:gridCol w:w="3485"/>
      </w:tblGrid>
      <w:tr w:rsidR="0077315C" w:rsidTr="003C4058">
        <w:trPr>
          <w:tblHeader/>
        </w:trPr>
        <w:tc>
          <w:tcPr>
            <w:tcW w:w="3486" w:type="dxa"/>
            <w:shd w:val="clear" w:color="auto" w:fill="D9D9D9" w:themeFill="background1" w:themeFillShade="D9"/>
          </w:tcPr>
          <w:p w:rsidR="0077315C" w:rsidRPr="00AD3B72" w:rsidRDefault="0077315C" w:rsidP="00AD3B72">
            <w:pPr>
              <w:jc w:val="center"/>
              <w:rPr>
                <w:b/>
              </w:rPr>
            </w:pPr>
            <w:r w:rsidRPr="00AD3B72">
              <w:rPr>
                <w:b/>
              </w:rPr>
              <w:t>Month</w:t>
            </w:r>
          </w:p>
        </w:tc>
        <w:tc>
          <w:tcPr>
            <w:tcW w:w="3485" w:type="dxa"/>
            <w:shd w:val="clear" w:color="auto" w:fill="D9D9D9" w:themeFill="background1" w:themeFillShade="D9"/>
          </w:tcPr>
          <w:p w:rsidR="0077315C" w:rsidRPr="00AD3B72" w:rsidRDefault="0077315C" w:rsidP="00AD3B72">
            <w:pPr>
              <w:jc w:val="center"/>
              <w:rPr>
                <w:b/>
              </w:rPr>
            </w:pPr>
            <w:r w:rsidRPr="00AD3B72">
              <w:rPr>
                <w:b/>
              </w:rPr>
              <w:t>Total number of enquires with a waiting time of more than three days</w:t>
            </w:r>
          </w:p>
        </w:tc>
        <w:tc>
          <w:tcPr>
            <w:tcW w:w="3485" w:type="dxa"/>
            <w:shd w:val="clear" w:color="auto" w:fill="D9D9D9" w:themeFill="background1" w:themeFillShade="D9"/>
          </w:tcPr>
          <w:p w:rsidR="0077315C" w:rsidRPr="00AD3B72" w:rsidRDefault="0077315C" w:rsidP="00AD3B72">
            <w:pPr>
              <w:jc w:val="center"/>
              <w:rPr>
                <w:b/>
              </w:rPr>
            </w:pPr>
            <w:r w:rsidRPr="00AD3B72">
              <w:rPr>
                <w:b/>
              </w:rPr>
              <w:t>Average waiting time for an appointment with a SENDIAS Officer</w:t>
            </w:r>
          </w:p>
        </w:tc>
      </w:tr>
      <w:tr w:rsidR="0077315C" w:rsidTr="0077315C">
        <w:tc>
          <w:tcPr>
            <w:tcW w:w="3486" w:type="dxa"/>
          </w:tcPr>
          <w:p w:rsidR="0077315C" w:rsidRPr="00AD3B72" w:rsidRDefault="00A56D71" w:rsidP="00AD3B72">
            <w:pPr>
              <w:jc w:val="center"/>
              <w:rPr>
                <w:b/>
              </w:rPr>
            </w:pPr>
            <w:r>
              <w:rPr>
                <w:b/>
              </w:rPr>
              <w:t>July</w:t>
            </w:r>
          </w:p>
        </w:tc>
        <w:tc>
          <w:tcPr>
            <w:tcW w:w="3485" w:type="dxa"/>
          </w:tcPr>
          <w:p w:rsidR="0077315C" w:rsidRDefault="009D0F0F" w:rsidP="00A56D71">
            <w:pPr>
              <w:jc w:val="center"/>
            </w:pPr>
            <w:r>
              <w:t xml:space="preserve">15 </w:t>
            </w:r>
            <w:r w:rsidR="00AD3B72">
              <w:t>out of enquires</w:t>
            </w:r>
            <w:r>
              <w:t xml:space="preserve"> 54</w:t>
            </w:r>
            <w:r w:rsidR="00BA5A08">
              <w:t xml:space="preserve"> </w:t>
            </w:r>
          </w:p>
        </w:tc>
        <w:tc>
          <w:tcPr>
            <w:tcW w:w="3485" w:type="dxa"/>
          </w:tcPr>
          <w:p w:rsidR="0077315C" w:rsidRDefault="009D0F0F" w:rsidP="009D0F0F">
            <w:pPr>
              <w:jc w:val="center"/>
            </w:pPr>
            <w:r>
              <w:t>6</w:t>
            </w:r>
            <w:r w:rsidR="00BA5A08">
              <w:t xml:space="preserve"> </w:t>
            </w:r>
            <w:r w:rsidR="00AD3B72">
              <w:t>days</w:t>
            </w:r>
            <w:r w:rsidR="00BA5A08">
              <w:t xml:space="preserve"> (r= </w:t>
            </w:r>
            <w:r>
              <w:t>0</w:t>
            </w:r>
            <w:r w:rsidR="00BA5A08">
              <w:t xml:space="preserve"> -</w:t>
            </w:r>
            <w:r>
              <w:t>9</w:t>
            </w:r>
            <w:r w:rsidR="00BA5A08">
              <w:t xml:space="preserve"> days)</w:t>
            </w:r>
          </w:p>
        </w:tc>
      </w:tr>
      <w:tr w:rsidR="0077315C" w:rsidTr="0077315C">
        <w:tc>
          <w:tcPr>
            <w:tcW w:w="3486" w:type="dxa"/>
          </w:tcPr>
          <w:p w:rsidR="0077315C" w:rsidRPr="00AD3B72" w:rsidRDefault="00A56D71" w:rsidP="00A56D71">
            <w:pPr>
              <w:jc w:val="center"/>
              <w:rPr>
                <w:b/>
              </w:rPr>
            </w:pPr>
            <w:r>
              <w:rPr>
                <w:b/>
              </w:rPr>
              <w:t>August</w:t>
            </w:r>
          </w:p>
        </w:tc>
        <w:tc>
          <w:tcPr>
            <w:tcW w:w="3485" w:type="dxa"/>
          </w:tcPr>
          <w:p w:rsidR="0077315C" w:rsidRDefault="00AD3B72" w:rsidP="00A56D71">
            <w:pPr>
              <w:jc w:val="center"/>
            </w:pPr>
            <w:r>
              <w:t>out of  enquires</w:t>
            </w:r>
            <w:r w:rsidR="00BA5A08">
              <w:t xml:space="preserve"> </w:t>
            </w:r>
          </w:p>
        </w:tc>
        <w:tc>
          <w:tcPr>
            <w:tcW w:w="3485" w:type="dxa"/>
          </w:tcPr>
          <w:p w:rsidR="0077315C" w:rsidRDefault="009D0F0F" w:rsidP="009D0F0F">
            <w:pPr>
              <w:jc w:val="center"/>
            </w:pPr>
            <w:r>
              <w:t>5.3</w:t>
            </w:r>
            <w:r w:rsidR="00BA5A08">
              <w:t xml:space="preserve"> </w:t>
            </w:r>
            <w:r w:rsidR="00AD3B72">
              <w:t>days</w:t>
            </w:r>
            <w:r w:rsidR="00BA5A08">
              <w:t xml:space="preserve"> (r= </w:t>
            </w:r>
            <w:r>
              <w:t>0</w:t>
            </w:r>
            <w:r w:rsidR="00BA5A08">
              <w:t xml:space="preserve"> -</w:t>
            </w:r>
            <w:r>
              <w:t>8</w:t>
            </w:r>
            <w:r w:rsidR="00BA5A08">
              <w:t xml:space="preserve"> days)</w:t>
            </w:r>
          </w:p>
        </w:tc>
      </w:tr>
      <w:tr w:rsidR="0077315C" w:rsidTr="0077315C">
        <w:tc>
          <w:tcPr>
            <w:tcW w:w="3486" w:type="dxa"/>
          </w:tcPr>
          <w:p w:rsidR="0077315C" w:rsidRPr="00AD3B72" w:rsidRDefault="00A56D71" w:rsidP="00AD3B72">
            <w:pPr>
              <w:jc w:val="center"/>
              <w:rPr>
                <w:b/>
              </w:rPr>
            </w:pPr>
            <w:r>
              <w:rPr>
                <w:b/>
              </w:rPr>
              <w:t>September</w:t>
            </w:r>
          </w:p>
        </w:tc>
        <w:tc>
          <w:tcPr>
            <w:tcW w:w="3485" w:type="dxa"/>
          </w:tcPr>
          <w:p w:rsidR="0077315C" w:rsidRDefault="00AD3B72" w:rsidP="00A56D71">
            <w:pPr>
              <w:jc w:val="center"/>
            </w:pPr>
            <w:r>
              <w:t>out of  enquires</w:t>
            </w:r>
            <w:r w:rsidR="00BA5A08">
              <w:t xml:space="preserve"> </w:t>
            </w:r>
          </w:p>
        </w:tc>
        <w:tc>
          <w:tcPr>
            <w:tcW w:w="3485" w:type="dxa"/>
          </w:tcPr>
          <w:p w:rsidR="0077315C" w:rsidRDefault="009D0F0F" w:rsidP="009D0F0F">
            <w:pPr>
              <w:jc w:val="center"/>
            </w:pPr>
            <w:r>
              <w:t>4.9</w:t>
            </w:r>
            <w:r w:rsidR="00BA5A08">
              <w:t xml:space="preserve"> </w:t>
            </w:r>
            <w:r w:rsidR="00AD3B72">
              <w:t>days</w:t>
            </w:r>
            <w:r w:rsidR="00BA5A08">
              <w:t xml:space="preserve"> (r= </w:t>
            </w:r>
            <w:r>
              <w:t>0</w:t>
            </w:r>
            <w:r w:rsidR="00BA5A08">
              <w:t xml:space="preserve"> -</w:t>
            </w:r>
            <w:r>
              <w:t xml:space="preserve">10 </w:t>
            </w:r>
            <w:r w:rsidR="00BA5A08">
              <w:t>days)</w:t>
            </w:r>
          </w:p>
        </w:tc>
      </w:tr>
    </w:tbl>
    <w:p w:rsidR="002507C1" w:rsidRDefault="002507C1" w:rsidP="002507C1"/>
    <w:p w:rsidR="0029627F" w:rsidRDefault="0029627F" w:rsidP="002507C1">
      <w:r>
        <w:t>From 2023 the service intends to review enquires in relation to postal district to assist the service future development. Comparable date for previous years doesn’t currently exist.</w:t>
      </w:r>
    </w:p>
    <w:p w:rsidR="002507C1" w:rsidRPr="00125586" w:rsidRDefault="00EF1368" w:rsidP="002507C1">
      <w:pPr>
        <w:rPr>
          <w:rFonts w:eastAsiaTheme="majorEastAsia" w:cstheme="majorBidi"/>
          <w:color w:val="5F2167"/>
          <w:sz w:val="22"/>
        </w:rPr>
      </w:pPr>
      <w:r w:rsidRPr="00125586">
        <w:rPr>
          <w:rFonts w:eastAsiaTheme="majorEastAsia" w:cstheme="majorBidi"/>
          <w:color w:val="5F2167"/>
          <w:sz w:val="22"/>
        </w:rPr>
        <w:t>Table 6:0 SENDIAS service n</w:t>
      </w:r>
      <w:r w:rsidR="002507C1" w:rsidRPr="00125586">
        <w:rPr>
          <w:rFonts w:eastAsiaTheme="majorEastAsia" w:cstheme="majorBidi"/>
          <w:color w:val="5F2167"/>
          <w:sz w:val="22"/>
        </w:rPr>
        <w:t xml:space="preserve">ew </w:t>
      </w:r>
      <w:r w:rsidRPr="00125586">
        <w:rPr>
          <w:rFonts w:eastAsiaTheme="majorEastAsia" w:cstheme="majorBidi"/>
          <w:color w:val="5F2167"/>
          <w:sz w:val="22"/>
        </w:rPr>
        <w:t xml:space="preserve">enquires for quarter </w:t>
      </w:r>
      <w:r w:rsidR="000D094F">
        <w:rPr>
          <w:rFonts w:eastAsiaTheme="majorEastAsia" w:cstheme="majorBidi"/>
          <w:color w:val="5F2167"/>
          <w:sz w:val="22"/>
        </w:rPr>
        <w:t>t</w:t>
      </w:r>
      <w:r w:rsidR="001C20F7">
        <w:rPr>
          <w:rFonts w:eastAsiaTheme="majorEastAsia" w:cstheme="majorBidi"/>
          <w:color w:val="5F2167"/>
          <w:sz w:val="22"/>
        </w:rPr>
        <w:t>hree</w:t>
      </w:r>
      <w:r w:rsidR="002507C1" w:rsidRPr="00125586">
        <w:rPr>
          <w:rFonts w:eastAsiaTheme="majorEastAsia" w:cstheme="majorBidi"/>
          <w:color w:val="5F2167"/>
          <w:sz w:val="22"/>
        </w:rPr>
        <w:t xml:space="preserve"> by postal district</w:t>
      </w:r>
      <w:r w:rsidRPr="00125586">
        <w:rPr>
          <w:rFonts w:eastAsiaTheme="majorEastAsia" w:cstheme="majorBidi"/>
          <w:color w:val="5F2167"/>
          <w:sz w:val="22"/>
        </w:rPr>
        <w:t>.</w:t>
      </w:r>
    </w:p>
    <w:tbl>
      <w:tblPr>
        <w:tblStyle w:val="TableGrid"/>
        <w:tblW w:w="0" w:type="auto"/>
        <w:tblLook w:val="04A0" w:firstRow="1" w:lastRow="0" w:firstColumn="1" w:lastColumn="0" w:noHBand="0" w:noVBand="1"/>
        <w:tblCaption w:val="SENDIAS service new enquires for the service by postal district."/>
        <w:tblDescription w:val="A table summarising the total number of enquires for each postal district during the quarter."/>
      </w:tblPr>
      <w:tblGrid>
        <w:gridCol w:w="5524"/>
        <w:gridCol w:w="2409"/>
      </w:tblGrid>
      <w:tr w:rsidR="00D5095E" w:rsidTr="003C4058">
        <w:trPr>
          <w:tblHeader/>
        </w:trPr>
        <w:tc>
          <w:tcPr>
            <w:tcW w:w="5524" w:type="dxa"/>
            <w:shd w:val="clear" w:color="auto" w:fill="D0CECE" w:themeFill="background2" w:themeFillShade="E6"/>
          </w:tcPr>
          <w:p w:rsidR="00D5095E" w:rsidRPr="0029627F" w:rsidRDefault="0029627F" w:rsidP="002507C1">
            <w:pPr>
              <w:rPr>
                <w:b/>
              </w:rPr>
            </w:pPr>
            <w:r w:rsidRPr="0029627F">
              <w:rPr>
                <w:b/>
              </w:rPr>
              <w:lastRenderedPageBreak/>
              <w:t>Postal District</w:t>
            </w:r>
          </w:p>
        </w:tc>
        <w:tc>
          <w:tcPr>
            <w:tcW w:w="2409" w:type="dxa"/>
            <w:shd w:val="clear" w:color="auto" w:fill="D0CECE" w:themeFill="background2" w:themeFillShade="E6"/>
          </w:tcPr>
          <w:p w:rsidR="00D5095E" w:rsidRPr="0029627F" w:rsidRDefault="0029627F" w:rsidP="002507C1">
            <w:pPr>
              <w:rPr>
                <w:b/>
              </w:rPr>
            </w:pPr>
            <w:r w:rsidRPr="0029627F">
              <w:rPr>
                <w:b/>
              </w:rPr>
              <w:t>Total number of referrals</w:t>
            </w:r>
          </w:p>
        </w:tc>
      </w:tr>
      <w:tr w:rsidR="00F3305A" w:rsidTr="00F3305A">
        <w:trPr>
          <w:tblHeader/>
        </w:trPr>
        <w:tc>
          <w:tcPr>
            <w:tcW w:w="5524" w:type="dxa"/>
          </w:tcPr>
          <w:p w:rsidR="00F3305A" w:rsidRPr="00F3305A" w:rsidRDefault="00F3305A" w:rsidP="00F3305A">
            <w:r w:rsidRPr="00F3305A">
              <w:t>Barnfield</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6</w:t>
            </w:r>
          </w:p>
        </w:tc>
      </w:tr>
      <w:tr w:rsidR="00F3305A" w:rsidTr="00F3305A">
        <w:trPr>
          <w:tblHeader/>
        </w:trPr>
        <w:tc>
          <w:tcPr>
            <w:tcW w:w="5524" w:type="dxa"/>
          </w:tcPr>
          <w:p w:rsidR="00F3305A" w:rsidRPr="00F3305A" w:rsidRDefault="00F3305A" w:rsidP="00F3305A">
            <w:r w:rsidRPr="00F3305A">
              <w:t>Beech Hill</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4</w:t>
            </w:r>
          </w:p>
        </w:tc>
      </w:tr>
      <w:tr w:rsidR="00F3305A" w:rsidTr="00F3305A">
        <w:trPr>
          <w:tblHeader/>
        </w:trPr>
        <w:tc>
          <w:tcPr>
            <w:tcW w:w="5524" w:type="dxa"/>
          </w:tcPr>
          <w:p w:rsidR="00F3305A" w:rsidRPr="00F3305A" w:rsidRDefault="00F3305A" w:rsidP="00F3305A">
            <w:proofErr w:type="spellStart"/>
            <w:r w:rsidRPr="00F3305A">
              <w:t>Biscot</w:t>
            </w:r>
            <w:proofErr w:type="spellEnd"/>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8</w:t>
            </w:r>
          </w:p>
        </w:tc>
      </w:tr>
      <w:tr w:rsidR="00F3305A" w:rsidTr="00F3305A">
        <w:trPr>
          <w:tblHeader/>
        </w:trPr>
        <w:tc>
          <w:tcPr>
            <w:tcW w:w="5524" w:type="dxa"/>
          </w:tcPr>
          <w:p w:rsidR="00F3305A" w:rsidRPr="00F3305A" w:rsidRDefault="00F3305A" w:rsidP="00F3305A">
            <w:r w:rsidRPr="00F3305A">
              <w:t>Bramingham</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6</w:t>
            </w:r>
          </w:p>
        </w:tc>
      </w:tr>
      <w:tr w:rsidR="00F3305A" w:rsidTr="00F3305A">
        <w:trPr>
          <w:tblHeader/>
        </w:trPr>
        <w:tc>
          <w:tcPr>
            <w:tcW w:w="5524" w:type="dxa"/>
          </w:tcPr>
          <w:p w:rsidR="00F3305A" w:rsidRPr="00F3305A" w:rsidRDefault="00F3305A" w:rsidP="00F3305A">
            <w:r w:rsidRPr="00F3305A">
              <w:t>Central</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5</w:t>
            </w:r>
          </w:p>
        </w:tc>
      </w:tr>
      <w:tr w:rsidR="00F3305A" w:rsidTr="00F3305A">
        <w:trPr>
          <w:tblHeader/>
        </w:trPr>
        <w:tc>
          <w:tcPr>
            <w:tcW w:w="5524" w:type="dxa"/>
          </w:tcPr>
          <w:p w:rsidR="00F3305A" w:rsidRPr="00F3305A" w:rsidRDefault="00F3305A" w:rsidP="00F3305A">
            <w:proofErr w:type="spellStart"/>
            <w:r w:rsidRPr="00F3305A">
              <w:t>Challney</w:t>
            </w:r>
            <w:proofErr w:type="spellEnd"/>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11</w:t>
            </w:r>
          </w:p>
        </w:tc>
      </w:tr>
      <w:tr w:rsidR="00F3305A" w:rsidTr="00F3305A">
        <w:trPr>
          <w:tblHeader/>
        </w:trPr>
        <w:tc>
          <w:tcPr>
            <w:tcW w:w="5524" w:type="dxa"/>
          </w:tcPr>
          <w:p w:rsidR="00F3305A" w:rsidRPr="00F3305A" w:rsidRDefault="00F3305A" w:rsidP="00F3305A">
            <w:r w:rsidRPr="00F3305A">
              <w:t>Crawley</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0</w:t>
            </w:r>
          </w:p>
        </w:tc>
      </w:tr>
      <w:tr w:rsidR="00F3305A" w:rsidTr="00F3305A">
        <w:trPr>
          <w:tblHeader/>
        </w:trPr>
        <w:tc>
          <w:tcPr>
            <w:tcW w:w="5524" w:type="dxa"/>
          </w:tcPr>
          <w:p w:rsidR="00F3305A" w:rsidRPr="00F3305A" w:rsidRDefault="00F3305A" w:rsidP="00F3305A">
            <w:proofErr w:type="spellStart"/>
            <w:r w:rsidRPr="00F3305A">
              <w:t>Dallow</w:t>
            </w:r>
            <w:proofErr w:type="spellEnd"/>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2</w:t>
            </w:r>
          </w:p>
        </w:tc>
      </w:tr>
      <w:tr w:rsidR="00F3305A" w:rsidTr="00F3305A">
        <w:trPr>
          <w:tblHeader/>
        </w:trPr>
        <w:tc>
          <w:tcPr>
            <w:tcW w:w="5524" w:type="dxa"/>
          </w:tcPr>
          <w:p w:rsidR="00F3305A" w:rsidRPr="00F3305A" w:rsidRDefault="00F3305A" w:rsidP="00F3305A">
            <w:r w:rsidRPr="00F3305A">
              <w:t>Farley</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7</w:t>
            </w:r>
          </w:p>
        </w:tc>
      </w:tr>
      <w:tr w:rsidR="00F3305A" w:rsidTr="00F3305A">
        <w:trPr>
          <w:tblHeader/>
        </w:trPr>
        <w:tc>
          <w:tcPr>
            <w:tcW w:w="5524" w:type="dxa"/>
          </w:tcPr>
          <w:p w:rsidR="00F3305A" w:rsidRPr="00F3305A" w:rsidRDefault="00F3305A" w:rsidP="00F3305A">
            <w:r w:rsidRPr="00F3305A">
              <w:t>High Town</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5</w:t>
            </w:r>
          </w:p>
        </w:tc>
      </w:tr>
      <w:tr w:rsidR="00F3305A" w:rsidTr="00F3305A">
        <w:trPr>
          <w:tblHeader/>
        </w:trPr>
        <w:tc>
          <w:tcPr>
            <w:tcW w:w="5524" w:type="dxa"/>
          </w:tcPr>
          <w:p w:rsidR="00F3305A" w:rsidRPr="00F3305A" w:rsidRDefault="00F3305A" w:rsidP="00F3305A">
            <w:r w:rsidRPr="00F3305A">
              <w:t>Icknield</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0</w:t>
            </w:r>
          </w:p>
        </w:tc>
      </w:tr>
      <w:tr w:rsidR="00F3305A" w:rsidTr="00F3305A">
        <w:trPr>
          <w:tblHeader/>
        </w:trPr>
        <w:tc>
          <w:tcPr>
            <w:tcW w:w="5524" w:type="dxa"/>
          </w:tcPr>
          <w:p w:rsidR="00F3305A" w:rsidRPr="00F3305A" w:rsidRDefault="00F3305A" w:rsidP="00F3305A">
            <w:r w:rsidRPr="00F3305A">
              <w:t>Leagrave</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6</w:t>
            </w:r>
          </w:p>
        </w:tc>
      </w:tr>
      <w:tr w:rsidR="00F3305A" w:rsidTr="00F3305A">
        <w:trPr>
          <w:tblHeader/>
        </w:trPr>
        <w:tc>
          <w:tcPr>
            <w:tcW w:w="5524" w:type="dxa"/>
          </w:tcPr>
          <w:p w:rsidR="00F3305A" w:rsidRPr="00F3305A" w:rsidRDefault="00F3305A" w:rsidP="00F3305A">
            <w:proofErr w:type="spellStart"/>
            <w:r w:rsidRPr="00F3305A">
              <w:t>Lewsey</w:t>
            </w:r>
            <w:proofErr w:type="spellEnd"/>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10</w:t>
            </w:r>
          </w:p>
        </w:tc>
      </w:tr>
      <w:tr w:rsidR="00F3305A" w:rsidTr="00F3305A">
        <w:trPr>
          <w:tblHeader/>
        </w:trPr>
        <w:tc>
          <w:tcPr>
            <w:tcW w:w="5524" w:type="dxa"/>
          </w:tcPr>
          <w:p w:rsidR="00F3305A" w:rsidRPr="00F3305A" w:rsidRDefault="00F3305A" w:rsidP="00F3305A">
            <w:proofErr w:type="spellStart"/>
            <w:r w:rsidRPr="00F3305A">
              <w:t>Limbery</w:t>
            </w:r>
            <w:proofErr w:type="spellEnd"/>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0</w:t>
            </w:r>
          </w:p>
        </w:tc>
      </w:tr>
      <w:tr w:rsidR="00F3305A" w:rsidTr="00F3305A">
        <w:trPr>
          <w:tblHeader/>
        </w:trPr>
        <w:tc>
          <w:tcPr>
            <w:tcW w:w="5524" w:type="dxa"/>
          </w:tcPr>
          <w:p w:rsidR="00F3305A" w:rsidRPr="00F3305A" w:rsidRDefault="00F3305A" w:rsidP="00F3305A">
            <w:proofErr w:type="spellStart"/>
            <w:r w:rsidRPr="00F3305A">
              <w:t>Northwell</w:t>
            </w:r>
            <w:proofErr w:type="spellEnd"/>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10</w:t>
            </w:r>
          </w:p>
        </w:tc>
      </w:tr>
      <w:tr w:rsidR="00F3305A" w:rsidTr="00F3305A">
        <w:trPr>
          <w:tblHeader/>
        </w:trPr>
        <w:tc>
          <w:tcPr>
            <w:tcW w:w="5524" w:type="dxa"/>
          </w:tcPr>
          <w:p w:rsidR="00F3305A" w:rsidRPr="00F3305A" w:rsidRDefault="00F3305A" w:rsidP="00F3305A">
            <w:r w:rsidRPr="00F3305A">
              <w:t>Poets</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5</w:t>
            </w:r>
          </w:p>
        </w:tc>
      </w:tr>
      <w:tr w:rsidR="00F3305A" w:rsidTr="00F3305A">
        <w:trPr>
          <w:tblHeader/>
        </w:trPr>
        <w:tc>
          <w:tcPr>
            <w:tcW w:w="5524" w:type="dxa"/>
          </w:tcPr>
          <w:p w:rsidR="00F3305A" w:rsidRPr="00F3305A" w:rsidRDefault="00F3305A" w:rsidP="00F3305A">
            <w:r w:rsidRPr="00F3305A">
              <w:t>Round Green</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5</w:t>
            </w:r>
          </w:p>
        </w:tc>
      </w:tr>
      <w:tr w:rsidR="00F3305A" w:rsidTr="00F3305A">
        <w:trPr>
          <w:tblHeader/>
        </w:trPr>
        <w:tc>
          <w:tcPr>
            <w:tcW w:w="5524" w:type="dxa"/>
          </w:tcPr>
          <w:p w:rsidR="00F3305A" w:rsidRPr="00F3305A" w:rsidRDefault="00F3305A" w:rsidP="00F3305A">
            <w:r w:rsidRPr="00F3305A">
              <w:t>Saints</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3</w:t>
            </w:r>
          </w:p>
        </w:tc>
      </w:tr>
      <w:tr w:rsidR="00F3305A" w:rsidTr="00F3305A">
        <w:trPr>
          <w:tblHeader/>
        </w:trPr>
        <w:tc>
          <w:tcPr>
            <w:tcW w:w="5524" w:type="dxa"/>
          </w:tcPr>
          <w:p w:rsidR="00F3305A" w:rsidRPr="00F3305A" w:rsidRDefault="00F3305A" w:rsidP="00F3305A">
            <w:r w:rsidRPr="00F3305A">
              <w:t>South</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3</w:t>
            </w:r>
          </w:p>
        </w:tc>
      </w:tr>
      <w:tr w:rsidR="00F3305A" w:rsidTr="00F3305A">
        <w:trPr>
          <w:tblHeader/>
        </w:trPr>
        <w:tc>
          <w:tcPr>
            <w:tcW w:w="5524" w:type="dxa"/>
          </w:tcPr>
          <w:p w:rsidR="00F3305A" w:rsidRPr="00F3305A" w:rsidRDefault="00F3305A" w:rsidP="00F3305A">
            <w:r w:rsidRPr="00F3305A">
              <w:t>Stopsley</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10</w:t>
            </w:r>
          </w:p>
        </w:tc>
      </w:tr>
      <w:tr w:rsidR="00F3305A" w:rsidTr="00F3305A">
        <w:trPr>
          <w:tblHeader/>
        </w:trPr>
        <w:tc>
          <w:tcPr>
            <w:tcW w:w="5524" w:type="dxa"/>
          </w:tcPr>
          <w:p w:rsidR="00F3305A" w:rsidRPr="00F3305A" w:rsidRDefault="00F3305A" w:rsidP="00F3305A">
            <w:proofErr w:type="spellStart"/>
            <w:r w:rsidRPr="00F3305A">
              <w:t>Sundon</w:t>
            </w:r>
            <w:proofErr w:type="spellEnd"/>
            <w:r w:rsidRPr="00F3305A">
              <w:t xml:space="preserve"> Park</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4</w:t>
            </w:r>
          </w:p>
        </w:tc>
      </w:tr>
      <w:tr w:rsidR="00F3305A" w:rsidTr="00F3305A">
        <w:trPr>
          <w:tblHeader/>
        </w:trPr>
        <w:tc>
          <w:tcPr>
            <w:tcW w:w="5524" w:type="dxa"/>
          </w:tcPr>
          <w:p w:rsidR="00F3305A" w:rsidRPr="00F3305A" w:rsidRDefault="00F3305A" w:rsidP="00F3305A">
            <w:r w:rsidRPr="00F3305A">
              <w:t>Vauxhall</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5</w:t>
            </w:r>
          </w:p>
        </w:tc>
      </w:tr>
      <w:tr w:rsidR="00F3305A" w:rsidTr="00F3305A">
        <w:trPr>
          <w:tblHeader/>
        </w:trPr>
        <w:tc>
          <w:tcPr>
            <w:tcW w:w="5524" w:type="dxa"/>
          </w:tcPr>
          <w:p w:rsidR="00F3305A" w:rsidRPr="00F3305A" w:rsidRDefault="00F3305A" w:rsidP="00F3305A">
            <w:r w:rsidRPr="00F3305A">
              <w:t>Wigmore</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9</w:t>
            </w:r>
          </w:p>
        </w:tc>
      </w:tr>
      <w:tr w:rsidR="00F3305A" w:rsidTr="00F3305A">
        <w:trPr>
          <w:tblHeader/>
        </w:trPr>
        <w:tc>
          <w:tcPr>
            <w:tcW w:w="5524" w:type="dxa"/>
          </w:tcPr>
          <w:p w:rsidR="00F3305A" w:rsidRPr="00F3305A" w:rsidRDefault="00F3305A" w:rsidP="00F3305A">
            <w:r w:rsidRPr="00F3305A">
              <w:t>Out of Area i.e. Central Bedfordshire Council</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2</w:t>
            </w:r>
          </w:p>
        </w:tc>
      </w:tr>
      <w:tr w:rsidR="00F3305A" w:rsidTr="00F3305A">
        <w:trPr>
          <w:tblHeader/>
        </w:trPr>
        <w:tc>
          <w:tcPr>
            <w:tcW w:w="5524" w:type="dxa"/>
          </w:tcPr>
          <w:p w:rsidR="00F3305A" w:rsidRPr="00F3305A" w:rsidRDefault="00F3305A" w:rsidP="00F3305A">
            <w:r w:rsidRPr="00F3305A">
              <w:t>Unknown/ not provided</w:t>
            </w:r>
          </w:p>
        </w:tc>
        <w:tc>
          <w:tcPr>
            <w:tcW w:w="2409" w:type="dxa"/>
            <w:tcBorders>
              <w:top w:val="nil"/>
              <w:left w:val="single" w:sz="4" w:space="0" w:color="auto"/>
              <w:bottom w:val="single" w:sz="4" w:space="0" w:color="auto"/>
              <w:right w:val="single" w:sz="4" w:space="0" w:color="auto"/>
            </w:tcBorders>
            <w:shd w:val="clear" w:color="auto" w:fill="FFFFFF" w:themeFill="background1"/>
            <w:vAlign w:val="bottom"/>
          </w:tcPr>
          <w:p w:rsidR="00F3305A" w:rsidRPr="00F3305A" w:rsidRDefault="00F3305A" w:rsidP="00F3305A">
            <w:pPr>
              <w:jc w:val="center"/>
            </w:pPr>
            <w:r w:rsidRPr="00F3305A">
              <w:t>12</w:t>
            </w:r>
          </w:p>
        </w:tc>
      </w:tr>
    </w:tbl>
    <w:p w:rsidR="002507C1" w:rsidRPr="002507C1" w:rsidRDefault="002507C1" w:rsidP="002507C1"/>
    <w:p w:rsidR="00BE6FE9" w:rsidRPr="00037825" w:rsidRDefault="00BE6FE9" w:rsidP="00BE6FE9">
      <w:pPr>
        <w:pStyle w:val="Heading1"/>
        <w:rPr>
          <w:sz w:val="28"/>
          <w:szCs w:val="28"/>
        </w:rPr>
      </w:pPr>
      <w:r w:rsidRPr="00037825">
        <w:rPr>
          <w:sz w:val="28"/>
          <w:szCs w:val="28"/>
        </w:rPr>
        <w:t>What type of support is required?</w:t>
      </w:r>
    </w:p>
    <w:p w:rsidR="00BE6FE9" w:rsidRPr="00037825" w:rsidRDefault="00BE6FE9" w:rsidP="00CC7CF0">
      <w:pPr>
        <w:pStyle w:val="Default"/>
        <w:spacing w:line="276" w:lineRule="auto"/>
        <w:jc w:val="both"/>
        <w:rPr>
          <w:sz w:val="28"/>
          <w:szCs w:val="28"/>
        </w:rPr>
      </w:pPr>
    </w:p>
    <w:p w:rsidR="008128D3" w:rsidRDefault="00CC7CF0" w:rsidP="00CC7CF0">
      <w:pPr>
        <w:pStyle w:val="Default"/>
        <w:spacing w:line="276" w:lineRule="auto"/>
        <w:jc w:val="both"/>
      </w:pPr>
      <w:r w:rsidRPr="00EA628F">
        <w:lastRenderedPageBreak/>
        <w:t>The intervention service levels for cases</w:t>
      </w:r>
      <w:r w:rsidR="005773F9">
        <w:rPr>
          <w:color w:val="FF0000"/>
        </w:rPr>
        <w:t>,</w:t>
      </w:r>
      <w:r w:rsidRPr="00EA628F">
        <w:t xml:space="preserve"> are recorded following the IASS national guidelines to monitor the demand for different types of support regionally and locally. </w:t>
      </w:r>
    </w:p>
    <w:p w:rsidR="008128D3" w:rsidRDefault="008128D3" w:rsidP="00CC7CF0">
      <w:pPr>
        <w:pStyle w:val="Default"/>
        <w:spacing w:line="276" w:lineRule="auto"/>
        <w:jc w:val="both"/>
      </w:pPr>
    </w:p>
    <w:p w:rsidR="00BA099A" w:rsidRDefault="00CC7CF0" w:rsidP="00DD06CF">
      <w:pPr>
        <w:pStyle w:val="Default"/>
        <w:spacing w:line="276" w:lineRule="auto"/>
        <w:jc w:val="both"/>
      </w:pPr>
      <w:r w:rsidRPr="00EA628F">
        <w:t xml:space="preserve">There are 4 intervention levels. Figure </w:t>
      </w:r>
      <w:r w:rsidR="00DF1B98">
        <w:t>5</w:t>
      </w:r>
      <w:r>
        <w:t xml:space="preserve"> </w:t>
      </w:r>
      <w:r w:rsidRPr="00EA628F">
        <w:t xml:space="preserve">shows the levels of casework and intervention type undertaken by the service during </w:t>
      </w:r>
      <w:r w:rsidR="006643C5">
        <w:t xml:space="preserve">the first two </w:t>
      </w:r>
      <w:r w:rsidR="00412A5C">
        <w:t>quarter</w:t>
      </w:r>
      <w:r w:rsidR="006643C5">
        <w:t xml:space="preserve">s of 2023 </w:t>
      </w:r>
      <w:r>
        <w:t>for new referrals</w:t>
      </w:r>
      <w:r w:rsidR="00412A5C">
        <w:t xml:space="preserve"> compared to previous years</w:t>
      </w:r>
      <w:r w:rsidRPr="00EA628F">
        <w:t xml:space="preserve">. </w:t>
      </w:r>
    </w:p>
    <w:p w:rsidR="00DD06CF" w:rsidRDefault="00DD06CF" w:rsidP="00CC7CF0">
      <w:pPr>
        <w:pStyle w:val="Default"/>
        <w:spacing w:line="276" w:lineRule="auto"/>
        <w:jc w:val="both"/>
      </w:pPr>
    </w:p>
    <w:p w:rsidR="008128D3" w:rsidRDefault="00DD06CF" w:rsidP="00CC7CF0">
      <w:pPr>
        <w:pStyle w:val="Default"/>
        <w:spacing w:line="276" w:lineRule="auto"/>
        <w:jc w:val="both"/>
      </w:pPr>
      <w:r>
        <w:t>L</w:t>
      </w:r>
      <w:r w:rsidR="00CC7CF0">
        <w:t xml:space="preserve">evel 1 </w:t>
      </w:r>
      <w:r w:rsidR="00CC7CF0" w:rsidRPr="00BF23CE">
        <w:t xml:space="preserve">work </w:t>
      </w:r>
      <w:r>
        <w:t xml:space="preserve">accounted for </w:t>
      </w:r>
      <w:r w:rsidR="006643C5">
        <w:t>4</w:t>
      </w:r>
      <w:r w:rsidR="00840090">
        <w:t>6</w:t>
      </w:r>
      <w:r>
        <w:t xml:space="preserve">% of new casework </w:t>
      </w:r>
      <w:r w:rsidR="00CC7CF0" w:rsidRPr="00BF23CE">
        <w:t>which</w:t>
      </w:r>
      <w:r w:rsidR="00CC7CF0">
        <w:t xml:space="preserve"> is providing advice and support,</w:t>
      </w:r>
      <w:r w:rsidR="00CC7CF0" w:rsidRPr="00EA628F">
        <w:t xml:space="preserve"> </w:t>
      </w:r>
      <w:r w:rsidR="00CC7CF0">
        <w:t>signposting towards other servi</w:t>
      </w:r>
      <w:r w:rsidR="00CC7CF0" w:rsidRPr="00EA628F">
        <w:t xml:space="preserve">ces or </w:t>
      </w:r>
      <w:r w:rsidR="00CC7CF0" w:rsidRPr="00BB1393">
        <w:t>interpret</w:t>
      </w:r>
      <w:r w:rsidR="00CC7CF0">
        <w:t>ing</w:t>
      </w:r>
      <w:r w:rsidR="00CC7CF0" w:rsidRPr="00BB1393">
        <w:t xml:space="preserve"> information relating to special educational needs (</w:t>
      </w:r>
      <w:r w:rsidR="00CC7CF0" w:rsidRPr="00BF23CE">
        <w:t>SEN) and</w:t>
      </w:r>
      <w:r w:rsidR="00CC7CF0" w:rsidRPr="00BB1393">
        <w:t xml:space="preserve"> </w:t>
      </w:r>
      <w:r w:rsidR="00CC7CF0">
        <w:t xml:space="preserve">enabling service users to </w:t>
      </w:r>
      <w:r w:rsidR="00CC7CF0" w:rsidRPr="00BB1393">
        <w:t>apply it to their own situation.</w:t>
      </w:r>
      <w:r w:rsidR="00CC7CF0">
        <w:t xml:space="preserve"> </w:t>
      </w:r>
    </w:p>
    <w:p w:rsidR="008128D3" w:rsidRDefault="008128D3" w:rsidP="00CC7CF0">
      <w:pPr>
        <w:pStyle w:val="Default"/>
        <w:spacing w:line="276" w:lineRule="auto"/>
        <w:jc w:val="both"/>
      </w:pPr>
    </w:p>
    <w:p w:rsidR="00BA099A" w:rsidRDefault="00BA099A" w:rsidP="00BA099A">
      <w:pPr>
        <w:pStyle w:val="Default"/>
        <w:spacing w:line="276" w:lineRule="auto"/>
        <w:jc w:val="both"/>
      </w:pPr>
      <w:r>
        <w:t xml:space="preserve">Level 2 work accounted for </w:t>
      </w:r>
      <w:r w:rsidR="00840090">
        <w:t>33</w:t>
      </w:r>
      <w:r w:rsidRPr="00EA628F">
        <w:t xml:space="preserve">% </w:t>
      </w:r>
      <w:r w:rsidRPr="00BF23CE">
        <w:t>of our service’s</w:t>
      </w:r>
      <w:r w:rsidRPr="00EA628F">
        <w:t xml:space="preserve"> work</w:t>
      </w:r>
      <w:r>
        <w:t>. This relates</w:t>
      </w:r>
      <w:r w:rsidRPr="00EA628F">
        <w:t xml:space="preserve"> to</w:t>
      </w:r>
      <w:r w:rsidRPr="00DD06CF">
        <w:t xml:space="preserve"> </w:t>
      </w:r>
      <w:r w:rsidRPr="00BF23CE">
        <w:t xml:space="preserve">work </w:t>
      </w:r>
      <w:r>
        <w:t xml:space="preserve">that </w:t>
      </w:r>
      <w:r w:rsidRPr="00BF23CE">
        <w:t>enables service users to under</w:t>
      </w:r>
      <w:r>
        <w:t>stand or complete documentation,</w:t>
      </w:r>
      <w:r w:rsidRPr="00BF23CE">
        <w:t xml:space="preserve"> </w:t>
      </w:r>
      <w:r>
        <w:t>s</w:t>
      </w:r>
      <w:r w:rsidRPr="0099108C">
        <w:t>uppo</w:t>
      </w:r>
      <w:r>
        <w:t>rt in communicating with school and</w:t>
      </w:r>
      <w:r w:rsidRPr="0099108C">
        <w:t xml:space="preserve"> the LA and other services. It centres around providing detailed and personalised guidance on following</w:t>
      </w:r>
      <w:r>
        <w:t xml:space="preserve"> SEND or exclusion procedures. </w:t>
      </w:r>
    </w:p>
    <w:p w:rsidR="00BA099A" w:rsidRDefault="00BA099A" w:rsidP="00CC7CF0">
      <w:pPr>
        <w:pStyle w:val="Default"/>
        <w:spacing w:line="276" w:lineRule="auto"/>
        <w:jc w:val="both"/>
      </w:pPr>
    </w:p>
    <w:p w:rsidR="008A1905" w:rsidRDefault="00CC7CF0" w:rsidP="00CC7CF0">
      <w:pPr>
        <w:pStyle w:val="Default"/>
        <w:spacing w:line="276" w:lineRule="auto"/>
        <w:jc w:val="both"/>
      </w:pPr>
      <w:r>
        <w:t xml:space="preserve">Level 3 work </w:t>
      </w:r>
      <w:r w:rsidR="00DD06CF">
        <w:t xml:space="preserve">accounted for </w:t>
      </w:r>
      <w:r w:rsidR="00840090">
        <w:t>15</w:t>
      </w:r>
      <w:r w:rsidR="00DD06CF">
        <w:t>% of new casework and involves</w:t>
      </w:r>
      <w:r>
        <w:t xml:space="preserve"> providing </w:t>
      </w:r>
      <w:r w:rsidRPr="00695A56">
        <w:t>detailed,</w:t>
      </w:r>
      <w:r w:rsidRPr="00573CA0">
        <w:rPr>
          <w:sz w:val="22"/>
          <w:szCs w:val="22"/>
        </w:rPr>
        <w:t xml:space="preserve"> </w:t>
      </w:r>
      <w:r w:rsidRPr="001B4635">
        <w:t xml:space="preserve">continuing assistance and guidance with statutory processes or assistance in overcoming serious breakdown in communications with school/LA/other services over a period of months. </w:t>
      </w:r>
    </w:p>
    <w:p w:rsidR="001E4519" w:rsidRDefault="001E4519" w:rsidP="001E4519">
      <w:pPr>
        <w:rPr>
          <w:rFonts w:eastAsiaTheme="minorHAnsi" w:cs="Arial"/>
          <w:color w:val="000000"/>
          <w:szCs w:val="24"/>
        </w:rPr>
      </w:pPr>
    </w:p>
    <w:p w:rsidR="00033EBA" w:rsidRDefault="00695A56" w:rsidP="00033EBA">
      <w:pPr>
        <w:jc w:val="both"/>
        <w:rPr>
          <w:rFonts w:cs="Arial"/>
          <w:szCs w:val="24"/>
        </w:rPr>
      </w:pPr>
      <w:r>
        <w:rPr>
          <w:rFonts w:eastAsiaTheme="minorHAnsi" w:cs="Arial"/>
          <w:color w:val="000000"/>
          <w:szCs w:val="24"/>
        </w:rPr>
        <w:lastRenderedPageBreak/>
        <w:t xml:space="preserve">Level 4 </w:t>
      </w:r>
      <w:r w:rsidR="00DD06CF" w:rsidRPr="003A0EBB">
        <w:rPr>
          <w:rFonts w:eastAsiaTheme="minorHAnsi" w:cs="Arial"/>
          <w:color w:val="000000"/>
          <w:szCs w:val="24"/>
        </w:rPr>
        <w:t xml:space="preserve">work accounted for </w:t>
      </w:r>
      <w:r w:rsidR="00840090">
        <w:rPr>
          <w:rFonts w:eastAsiaTheme="minorHAnsi" w:cs="Arial"/>
          <w:color w:val="000000"/>
          <w:szCs w:val="24"/>
        </w:rPr>
        <w:t>6</w:t>
      </w:r>
      <w:r w:rsidR="00DD06CF" w:rsidRPr="003A0EBB">
        <w:rPr>
          <w:rFonts w:eastAsiaTheme="minorHAnsi" w:cs="Arial"/>
          <w:color w:val="000000"/>
          <w:szCs w:val="24"/>
        </w:rPr>
        <w:t>% of new casework and involves a</w:t>
      </w:r>
      <w:r w:rsidRPr="00695A56">
        <w:rPr>
          <w:rFonts w:eastAsiaTheme="minorHAnsi" w:cs="Arial"/>
          <w:color w:val="000000"/>
          <w:szCs w:val="24"/>
        </w:rPr>
        <w:t>ny or all of Levels 1,</w:t>
      </w:r>
      <w:r w:rsidR="00D63A17">
        <w:rPr>
          <w:rFonts w:eastAsiaTheme="minorHAnsi" w:cs="Arial"/>
          <w:color w:val="000000"/>
          <w:szCs w:val="24"/>
        </w:rPr>
        <w:t xml:space="preserve"> </w:t>
      </w:r>
      <w:r w:rsidRPr="00695A56">
        <w:rPr>
          <w:rFonts w:eastAsiaTheme="minorHAnsi" w:cs="Arial"/>
          <w:color w:val="000000"/>
          <w:szCs w:val="24"/>
        </w:rPr>
        <w:t>2 and 3 plus</w:t>
      </w:r>
      <w:r>
        <w:rPr>
          <w:rFonts w:eastAsiaTheme="minorHAnsi" w:cs="Arial"/>
          <w:color w:val="000000"/>
          <w:szCs w:val="24"/>
        </w:rPr>
        <w:t xml:space="preserve"> providing d</w:t>
      </w:r>
      <w:r w:rsidRPr="00695A56">
        <w:rPr>
          <w:rFonts w:eastAsiaTheme="minorHAnsi" w:cs="Arial"/>
          <w:color w:val="000000"/>
          <w:szCs w:val="24"/>
        </w:rPr>
        <w:t>etailed and continuing assistance</w:t>
      </w:r>
      <w:r>
        <w:rPr>
          <w:rFonts w:eastAsiaTheme="minorHAnsi" w:cs="Arial"/>
          <w:color w:val="000000"/>
          <w:szCs w:val="24"/>
        </w:rPr>
        <w:t xml:space="preserve"> </w:t>
      </w:r>
      <w:r w:rsidRPr="00695A56">
        <w:rPr>
          <w:rFonts w:eastAsiaTheme="minorHAnsi" w:cs="Arial"/>
          <w:color w:val="000000"/>
          <w:szCs w:val="24"/>
        </w:rPr>
        <w:t>and guidance with preparation and</w:t>
      </w:r>
      <w:r>
        <w:rPr>
          <w:rFonts w:eastAsiaTheme="minorHAnsi" w:cs="Arial"/>
          <w:color w:val="000000"/>
          <w:szCs w:val="24"/>
        </w:rPr>
        <w:t xml:space="preserve"> </w:t>
      </w:r>
      <w:r w:rsidRPr="00695A56">
        <w:rPr>
          <w:rFonts w:eastAsiaTheme="minorHAnsi" w:cs="Arial"/>
          <w:color w:val="000000"/>
          <w:szCs w:val="24"/>
        </w:rPr>
        <w:t>support during:</w:t>
      </w:r>
      <w:r w:rsidR="00DD06CF">
        <w:rPr>
          <w:rFonts w:eastAsiaTheme="minorHAnsi" w:cs="Arial"/>
          <w:color w:val="000000"/>
          <w:szCs w:val="24"/>
        </w:rPr>
        <w:t xml:space="preserve"> </w:t>
      </w:r>
      <w:r>
        <w:rPr>
          <w:rFonts w:eastAsiaTheme="minorHAnsi" w:cs="Arial"/>
          <w:color w:val="000000"/>
          <w:szCs w:val="24"/>
        </w:rPr>
        <w:t xml:space="preserve">First Tier Tribunal (SEND) and complaints. </w:t>
      </w:r>
      <w:r w:rsidR="00033EBA" w:rsidRPr="008B7DCB">
        <w:rPr>
          <w:rFonts w:cs="Arial"/>
          <w:szCs w:val="24"/>
        </w:rPr>
        <w:t xml:space="preserve">This low figure could be attributed to the fact that our service is able to support families to reach early resolutions via other channels. </w:t>
      </w:r>
    </w:p>
    <w:p w:rsidR="001E4519" w:rsidRDefault="001E4519" w:rsidP="00695A56">
      <w:pPr>
        <w:pStyle w:val="Heading2"/>
        <w:rPr>
          <w:sz w:val="22"/>
          <w:szCs w:val="22"/>
        </w:rPr>
      </w:pPr>
      <w:r w:rsidRPr="00125586">
        <w:rPr>
          <w:sz w:val="22"/>
          <w:szCs w:val="22"/>
        </w:rPr>
        <w:t xml:space="preserve">Figure </w:t>
      </w:r>
      <w:r w:rsidR="00297529" w:rsidRPr="00125586">
        <w:rPr>
          <w:sz w:val="22"/>
          <w:szCs w:val="22"/>
        </w:rPr>
        <w:t>4</w:t>
      </w:r>
      <w:r w:rsidRPr="00125586">
        <w:rPr>
          <w:sz w:val="22"/>
          <w:szCs w:val="22"/>
        </w:rPr>
        <w:t>:0 SENDIAS 202</w:t>
      </w:r>
      <w:r w:rsidR="00412A5C" w:rsidRPr="00125586">
        <w:rPr>
          <w:sz w:val="22"/>
          <w:szCs w:val="22"/>
        </w:rPr>
        <w:t>0-2023 Q</w:t>
      </w:r>
      <w:r w:rsidR="001C20F7">
        <w:rPr>
          <w:sz w:val="22"/>
          <w:szCs w:val="22"/>
        </w:rPr>
        <w:t>3</w:t>
      </w:r>
      <w:r w:rsidRPr="00125586">
        <w:rPr>
          <w:sz w:val="22"/>
          <w:szCs w:val="22"/>
        </w:rPr>
        <w:t xml:space="preserve"> </w:t>
      </w:r>
      <w:r w:rsidR="00EA7777" w:rsidRPr="00125586">
        <w:rPr>
          <w:sz w:val="22"/>
          <w:szCs w:val="22"/>
        </w:rPr>
        <w:t>-</w:t>
      </w:r>
      <w:r w:rsidRPr="00125586">
        <w:rPr>
          <w:sz w:val="22"/>
          <w:szCs w:val="22"/>
        </w:rPr>
        <w:t xml:space="preserve"> new enquiries by Intervention level</w:t>
      </w:r>
    </w:p>
    <w:p w:rsidR="00A27665" w:rsidRPr="00A27665" w:rsidRDefault="00A27665" w:rsidP="00A27665">
      <w:r>
        <w:rPr>
          <w:noProof/>
          <w:lang w:eastAsia="en-GB"/>
        </w:rPr>
        <w:drawing>
          <wp:inline distT="0" distB="0" distL="0" distR="0" wp14:anchorId="019CA639">
            <wp:extent cx="5621020" cy="3200400"/>
            <wp:effectExtent l="0" t="0" r="0" b="0"/>
            <wp:docPr id="22" name="Picture 22" descr="A bar chart which summarises casework undertaken by the service between 2020 to 2023 quarters one, two and three by IASS intervention levels." title="SENDIAS service IASS intervention levels from 2020 to 2023 quarters one, two and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1020" cy="3200400"/>
                    </a:xfrm>
                    <a:prstGeom prst="rect">
                      <a:avLst/>
                    </a:prstGeom>
                    <a:noFill/>
                  </pic:spPr>
                </pic:pic>
              </a:graphicData>
            </a:graphic>
          </wp:inline>
        </w:drawing>
      </w:r>
    </w:p>
    <w:p w:rsidR="000B6B45" w:rsidRDefault="000B6B45" w:rsidP="00054A60">
      <w:pPr>
        <w:pStyle w:val="BodyText"/>
      </w:pPr>
      <w:r w:rsidRPr="00054A60">
        <w:rPr>
          <w:rStyle w:val="Heading1Char"/>
          <w:color w:val="auto"/>
          <w:sz w:val="24"/>
          <w:szCs w:val="24"/>
        </w:rPr>
        <w:lastRenderedPageBreak/>
        <w:t xml:space="preserve">Table </w:t>
      </w:r>
      <w:r w:rsidR="00297529">
        <w:rPr>
          <w:rStyle w:val="Heading1Char"/>
          <w:color w:val="auto"/>
          <w:sz w:val="24"/>
          <w:szCs w:val="24"/>
        </w:rPr>
        <w:t>7</w:t>
      </w:r>
      <w:r w:rsidRPr="00054A60">
        <w:rPr>
          <w:rStyle w:val="Heading1Char"/>
          <w:color w:val="auto"/>
          <w:sz w:val="24"/>
          <w:szCs w:val="24"/>
        </w:rPr>
        <w:t xml:space="preserve">:0 provides a summary of </w:t>
      </w:r>
      <w:r w:rsidR="0029627F">
        <w:rPr>
          <w:rStyle w:val="Heading1Char"/>
          <w:color w:val="auto"/>
          <w:sz w:val="24"/>
          <w:szCs w:val="24"/>
        </w:rPr>
        <w:t>the different types of casework undertaken by the service</w:t>
      </w:r>
      <w:r w:rsidRPr="00054A60">
        <w:t xml:space="preserve">. </w:t>
      </w:r>
      <w:r w:rsidR="00161467">
        <w:t>This represents both new and existing case</w:t>
      </w:r>
      <w:r w:rsidR="001122B2">
        <w:t xml:space="preserve">work. </w:t>
      </w:r>
      <w:r w:rsidR="0029627F">
        <w:t xml:space="preserve">During quarter </w:t>
      </w:r>
      <w:r w:rsidR="000D094F">
        <w:t>two</w:t>
      </w:r>
      <w:r>
        <w:t xml:space="preserve"> the SENDIAS service continued to provide advice and support through a variety of methods, telephone, email, website and attendance at virtual</w:t>
      </w:r>
      <w:r w:rsidR="001122B2">
        <w:t>/face to face</w:t>
      </w:r>
      <w:r>
        <w:t xml:space="preserve"> meetings.</w:t>
      </w:r>
      <w:r w:rsidR="005172C9">
        <w:t xml:space="preserve"> </w:t>
      </w:r>
    </w:p>
    <w:p w:rsidR="005A0F02" w:rsidRPr="00125586" w:rsidRDefault="005A0F02" w:rsidP="00125586">
      <w:pPr>
        <w:pStyle w:val="Heading2"/>
        <w:rPr>
          <w:sz w:val="22"/>
          <w:szCs w:val="22"/>
        </w:rPr>
      </w:pPr>
      <w:r w:rsidRPr="00125586">
        <w:rPr>
          <w:sz w:val="22"/>
          <w:szCs w:val="22"/>
        </w:rPr>
        <w:t xml:space="preserve">Table </w:t>
      </w:r>
      <w:r w:rsidR="00297529" w:rsidRPr="00125586">
        <w:rPr>
          <w:sz w:val="22"/>
          <w:szCs w:val="22"/>
        </w:rPr>
        <w:t>7</w:t>
      </w:r>
      <w:r w:rsidRPr="00125586">
        <w:rPr>
          <w:sz w:val="22"/>
          <w:szCs w:val="22"/>
        </w:rPr>
        <w:t xml:space="preserve">.0 Total number of </w:t>
      </w:r>
      <w:r w:rsidR="0029627F" w:rsidRPr="00125586">
        <w:rPr>
          <w:sz w:val="22"/>
          <w:szCs w:val="22"/>
        </w:rPr>
        <w:t>different types of casework undertaken</w:t>
      </w:r>
      <w:r w:rsidRPr="00125586">
        <w:rPr>
          <w:sz w:val="22"/>
          <w:szCs w:val="22"/>
        </w:rPr>
        <w:t xml:space="preserve"> for </w:t>
      </w:r>
      <w:r w:rsidR="0029627F" w:rsidRPr="00125586">
        <w:rPr>
          <w:sz w:val="22"/>
          <w:szCs w:val="22"/>
        </w:rPr>
        <w:t xml:space="preserve">quarter </w:t>
      </w:r>
      <w:r w:rsidR="000D094F">
        <w:rPr>
          <w:sz w:val="22"/>
          <w:szCs w:val="22"/>
        </w:rPr>
        <w:t>t</w:t>
      </w:r>
      <w:r w:rsidR="001C20F7">
        <w:rPr>
          <w:sz w:val="22"/>
          <w:szCs w:val="22"/>
        </w:rPr>
        <w:t>hree</w:t>
      </w:r>
      <w:r w:rsidRPr="00125586">
        <w:rPr>
          <w:sz w:val="22"/>
          <w:szCs w:val="22"/>
        </w:rPr>
        <w:t>.</w:t>
      </w:r>
    </w:p>
    <w:p w:rsidR="00D7198D" w:rsidRDefault="00D7198D" w:rsidP="00167382">
      <w:pPr>
        <w:jc w:val="both"/>
        <w:rPr>
          <w:rFonts w:cs="Arial"/>
        </w:rPr>
      </w:pPr>
    </w:p>
    <w:tbl>
      <w:tblPr>
        <w:tblStyle w:val="TableGrid"/>
        <w:tblW w:w="0" w:type="auto"/>
        <w:tblLook w:val="04A0" w:firstRow="1" w:lastRow="0" w:firstColumn="1" w:lastColumn="0" w:noHBand="0" w:noVBand="1"/>
        <w:tblCaption w:val="Total number of different types of casework undertaken by the service during the quarter."/>
        <w:tblDescription w:val="A table that summarises the different types of casework undertaken by the service and how often during the quarter."/>
      </w:tblPr>
      <w:tblGrid>
        <w:gridCol w:w="5228"/>
        <w:gridCol w:w="5228"/>
      </w:tblGrid>
      <w:tr w:rsidR="006F4DDE" w:rsidTr="003C4058">
        <w:trPr>
          <w:tblHeader/>
        </w:trPr>
        <w:tc>
          <w:tcPr>
            <w:tcW w:w="5228" w:type="dxa"/>
            <w:shd w:val="clear" w:color="auto" w:fill="BFBFBF" w:themeFill="background1" w:themeFillShade="BF"/>
          </w:tcPr>
          <w:p w:rsidR="006F4DDE" w:rsidRPr="006F4DDE" w:rsidRDefault="006F4DDE" w:rsidP="00167382">
            <w:pPr>
              <w:jc w:val="both"/>
              <w:rPr>
                <w:rFonts w:cs="Arial"/>
                <w:b/>
              </w:rPr>
            </w:pPr>
            <w:r w:rsidRPr="006F4DDE">
              <w:rPr>
                <w:rFonts w:cs="Arial"/>
                <w:b/>
              </w:rPr>
              <w:t>Type of casework undertaken</w:t>
            </w:r>
          </w:p>
        </w:tc>
        <w:tc>
          <w:tcPr>
            <w:tcW w:w="5228" w:type="dxa"/>
            <w:shd w:val="clear" w:color="auto" w:fill="BFBFBF" w:themeFill="background1" w:themeFillShade="BF"/>
          </w:tcPr>
          <w:p w:rsidR="006F4DDE" w:rsidRPr="006F4DDE" w:rsidRDefault="006F4DDE" w:rsidP="002D5ECD">
            <w:pPr>
              <w:jc w:val="center"/>
              <w:rPr>
                <w:rFonts w:cs="Arial"/>
                <w:b/>
              </w:rPr>
            </w:pPr>
            <w:r>
              <w:rPr>
                <w:rFonts w:cs="Arial"/>
                <w:b/>
              </w:rPr>
              <w:t>Number of contacts</w:t>
            </w:r>
          </w:p>
        </w:tc>
      </w:tr>
      <w:tr w:rsidR="00840090" w:rsidTr="00840090">
        <w:trPr>
          <w:tblHeader/>
        </w:trPr>
        <w:tc>
          <w:tcPr>
            <w:tcW w:w="5228" w:type="dxa"/>
            <w:tcBorders>
              <w:top w:val="single" w:sz="4" w:space="0" w:color="auto"/>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sidRPr="00986FF1">
              <w:rPr>
                <w:rFonts w:eastAsia="Times New Roman" w:cs="Arial"/>
                <w:color w:val="000000"/>
                <w:lang w:eastAsia="en-GB"/>
              </w:rPr>
              <w:t>Number of Contacts By Phone</w:t>
            </w:r>
          </w:p>
        </w:tc>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475</w:t>
            </w:r>
          </w:p>
        </w:tc>
      </w:tr>
      <w:tr w:rsidR="00840090" w:rsidTr="00840090">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sidRPr="00986FF1">
              <w:rPr>
                <w:rFonts w:eastAsia="Times New Roman" w:cs="Arial"/>
                <w:color w:val="000000"/>
                <w:lang w:eastAsia="en-GB"/>
              </w:rPr>
              <w:t>Number of Contacts By Email</w:t>
            </w:r>
          </w:p>
        </w:tc>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277</w:t>
            </w:r>
          </w:p>
        </w:tc>
      </w:tr>
      <w:tr w:rsidR="00840090" w:rsidTr="00840090">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Pr>
                <w:rFonts w:eastAsia="Times New Roman" w:cs="Arial"/>
                <w:color w:val="000000"/>
                <w:lang w:eastAsia="en-GB"/>
              </w:rPr>
              <w:t xml:space="preserve">Attending </w:t>
            </w:r>
            <w:r w:rsidRPr="00986FF1">
              <w:rPr>
                <w:rFonts w:eastAsia="Times New Roman" w:cs="Arial"/>
                <w:color w:val="000000"/>
                <w:lang w:eastAsia="en-GB"/>
              </w:rPr>
              <w:t>Group Meeting</w:t>
            </w:r>
          </w:p>
        </w:tc>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0</w:t>
            </w:r>
          </w:p>
        </w:tc>
      </w:tr>
      <w:tr w:rsidR="00840090" w:rsidTr="00840090">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Pr>
                <w:rFonts w:eastAsia="Times New Roman" w:cs="Arial"/>
                <w:color w:val="000000"/>
                <w:lang w:eastAsia="en-GB"/>
              </w:rPr>
              <w:t xml:space="preserve">Virtual </w:t>
            </w:r>
            <w:r w:rsidRPr="00986FF1">
              <w:rPr>
                <w:rFonts w:eastAsia="Times New Roman" w:cs="Arial"/>
                <w:color w:val="000000"/>
                <w:lang w:eastAsia="en-GB"/>
              </w:rPr>
              <w:t>Meeting</w:t>
            </w:r>
          </w:p>
        </w:tc>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1</w:t>
            </w:r>
          </w:p>
        </w:tc>
      </w:tr>
      <w:tr w:rsidR="00840090" w:rsidTr="00840090">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sidRPr="00986FF1">
              <w:rPr>
                <w:rFonts w:eastAsia="Times New Roman" w:cs="Arial"/>
                <w:color w:val="000000"/>
                <w:lang w:eastAsia="en-GB"/>
              </w:rPr>
              <w:t>Message</w:t>
            </w:r>
          </w:p>
        </w:tc>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17</w:t>
            </w:r>
          </w:p>
        </w:tc>
      </w:tr>
      <w:tr w:rsidR="00840090" w:rsidTr="00840090">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sidRPr="00986FF1">
              <w:rPr>
                <w:rFonts w:eastAsia="Times New Roman" w:cs="Arial"/>
                <w:color w:val="000000"/>
                <w:lang w:eastAsia="en-GB"/>
              </w:rPr>
              <w:t>Office Visit</w:t>
            </w:r>
          </w:p>
        </w:tc>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14</w:t>
            </w:r>
          </w:p>
        </w:tc>
      </w:tr>
      <w:tr w:rsidR="00840090" w:rsidTr="00840090">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sidRPr="00986FF1">
              <w:rPr>
                <w:rFonts w:eastAsia="Times New Roman" w:cs="Arial"/>
                <w:color w:val="000000"/>
                <w:lang w:eastAsia="en-GB"/>
              </w:rPr>
              <w:t>Professionals Meeting</w:t>
            </w:r>
          </w:p>
        </w:tc>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0</w:t>
            </w:r>
          </w:p>
        </w:tc>
      </w:tr>
      <w:tr w:rsidR="00840090" w:rsidTr="00840090">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sidRPr="00986FF1">
              <w:rPr>
                <w:rFonts w:eastAsia="Times New Roman" w:cs="Arial"/>
                <w:color w:val="000000"/>
                <w:lang w:eastAsia="en-GB"/>
              </w:rPr>
              <w:t>Report</w:t>
            </w:r>
            <w:r>
              <w:rPr>
                <w:rFonts w:eastAsia="Times New Roman" w:cs="Arial"/>
                <w:color w:val="000000"/>
                <w:lang w:eastAsia="en-GB"/>
              </w:rPr>
              <w:t xml:space="preserve"> review</w:t>
            </w:r>
          </w:p>
        </w:tc>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1</w:t>
            </w:r>
          </w:p>
        </w:tc>
      </w:tr>
      <w:tr w:rsidR="00840090" w:rsidTr="00840090">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Pr>
                <w:rFonts w:eastAsia="Times New Roman" w:cs="Arial"/>
                <w:color w:val="000000"/>
                <w:lang w:eastAsia="en-GB"/>
              </w:rPr>
              <w:t>Text</w:t>
            </w:r>
          </w:p>
        </w:tc>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3</w:t>
            </w:r>
          </w:p>
        </w:tc>
      </w:tr>
      <w:tr w:rsidR="00840090" w:rsidTr="00840090">
        <w:trPr>
          <w:tblHeader/>
        </w:trPr>
        <w:tc>
          <w:tcPr>
            <w:tcW w:w="5228" w:type="dxa"/>
            <w:tcBorders>
              <w:top w:val="nil"/>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sidRPr="00986FF1">
              <w:rPr>
                <w:rFonts w:eastAsia="Times New Roman" w:cs="Arial"/>
                <w:color w:val="000000"/>
                <w:lang w:eastAsia="en-GB"/>
              </w:rPr>
              <w:t>Telephone - No Answer</w:t>
            </w:r>
          </w:p>
        </w:tc>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0</w:t>
            </w:r>
          </w:p>
        </w:tc>
      </w:tr>
      <w:tr w:rsidR="00840090" w:rsidTr="00840090">
        <w:trPr>
          <w:tblHeader/>
        </w:trPr>
        <w:tc>
          <w:tcPr>
            <w:tcW w:w="5228" w:type="dxa"/>
            <w:tcBorders>
              <w:top w:val="single" w:sz="4" w:space="0" w:color="auto"/>
              <w:left w:val="single" w:sz="4" w:space="0" w:color="auto"/>
              <w:bottom w:val="single" w:sz="4" w:space="0" w:color="auto"/>
              <w:right w:val="single" w:sz="4" w:space="0" w:color="auto"/>
            </w:tcBorders>
            <w:shd w:val="clear" w:color="auto" w:fill="auto"/>
            <w:vAlign w:val="bottom"/>
          </w:tcPr>
          <w:p w:rsidR="00840090" w:rsidRPr="00986FF1" w:rsidRDefault="00840090" w:rsidP="00840090">
            <w:pPr>
              <w:rPr>
                <w:rFonts w:eastAsia="Times New Roman" w:cs="Arial"/>
                <w:color w:val="000000"/>
                <w:lang w:eastAsia="en-GB"/>
              </w:rPr>
            </w:pPr>
            <w:r>
              <w:rPr>
                <w:rFonts w:eastAsia="Times New Roman" w:cs="Arial"/>
                <w:color w:val="000000"/>
                <w:lang w:eastAsia="en-GB"/>
              </w:rPr>
              <w:t xml:space="preserve">Unspecified </w:t>
            </w:r>
          </w:p>
        </w:tc>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40090" w:rsidRPr="00840090" w:rsidRDefault="00840090" w:rsidP="00840090">
            <w:pPr>
              <w:jc w:val="center"/>
              <w:rPr>
                <w:rFonts w:cs="Arial"/>
                <w:b/>
                <w:bCs/>
                <w:color w:val="000000"/>
                <w:sz w:val="22"/>
              </w:rPr>
            </w:pPr>
            <w:r w:rsidRPr="00840090">
              <w:rPr>
                <w:rFonts w:cs="Arial"/>
                <w:b/>
                <w:bCs/>
                <w:color w:val="000000"/>
                <w:sz w:val="22"/>
              </w:rPr>
              <w:t>188</w:t>
            </w:r>
          </w:p>
        </w:tc>
      </w:tr>
    </w:tbl>
    <w:p w:rsidR="006F4DDE" w:rsidRDefault="006F4DDE" w:rsidP="00167382">
      <w:pPr>
        <w:jc w:val="both"/>
        <w:rPr>
          <w:rFonts w:cs="Arial"/>
        </w:rPr>
      </w:pPr>
    </w:p>
    <w:p w:rsidR="002507C1" w:rsidRDefault="00167382" w:rsidP="002507C1">
      <w:pPr>
        <w:jc w:val="both"/>
        <w:rPr>
          <w:rFonts w:cs="Arial"/>
        </w:rPr>
      </w:pPr>
      <w:r>
        <w:rPr>
          <w:rFonts w:cs="Arial"/>
        </w:rPr>
        <w:lastRenderedPageBreak/>
        <w:t xml:space="preserve">Table </w:t>
      </w:r>
      <w:r w:rsidR="00297529">
        <w:rPr>
          <w:rFonts w:cs="Arial"/>
        </w:rPr>
        <w:t>8</w:t>
      </w:r>
      <w:r>
        <w:rPr>
          <w:rFonts w:cs="Arial"/>
        </w:rPr>
        <w:t xml:space="preserve">:0 provides a summary of the reasons that service users with a current </w:t>
      </w:r>
      <w:r w:rsidR="006F5616">
        <w:rPr>
          <w:rFonts w:cs="Arial"/>
        </w:rPr>
        <w:t>Education Health Care Plan (</w:t>
      </w:r>
      <w:r>
        <w:rPr>
          <w:rFonts w:cs="Arial"/>
        </w:rPr>
        <w:t>EHCP</w:t>
      </w:r>
      <w:r w:rsidR="006F5616">
        <w:rPr>
          <w:rFonts w:cs="Arial"/>
        </w:rPr>
        <w:t>)</w:t>
      </w:r>
      <w:r>
        <w:rPr>
          <w:rFonts w:cs="Arial"/>
        </w:rPr>
        <w:t xml:space="preserve"> approach the service</w:t>
      </w:r>
      <w:r w:rsidR="005C29FF">
        <w:rPr>
          <w:rFonts w:cs="Arial"/>
        </w:rPr>
        <w:t xml:space="preserve"> during quarter </w:t>
      </w:r>
      <w:r w:rsidR="000D094F">
        <w:rPr>
          <w:rFonts w:cs="Arial"/>
        </w:rPr>
        <w:t>two</w:t>
      </w:r>
      <w:r>
        <w:rPr>
          <w:rFonts w:cs="Arial"/>
        </w:rPr>
        <w:t>.</w:t>
      </w:r>
      <w:r w:rsidR="00D47B69">
        <w:rPr>
          <w:rFonts w:cs="Arial"/>
        </w:rPr>
        <w:t xml:space="preserve"> </w:t>
      </w:r>
    </w:p>
    <w:p w:rsidR="001C5178" w:rsidRPr="00125586" w:rsidRDefault="001C5178" w:rsidP="00125586">
      <w:pPr>
        <w:pStyle w:val="Heading2"/>
        <w:rPr>
          <w:sz w:val="22"/>
          <w:szCs w:val="22"/>
        </w:rPr>
      </w:pPr>
      <w:r w:rsidRPr="00125586">
        <w:rPr>
          <w:sz w:val="22"/>
          <w:szCs w:val="22"/>
        </w:rPr>
        <w:t xml:space="preserve">Table </w:t>
      </w:r>
      <w:r w:rsidR="00297529" w:rsidRPr="00125586">
        <w:rPr>
          <w:sz w:val="22"/>
          <w:szCs w:val="22"/>
        </w:rPr>
        <w:t>8</w:t>
      </w:r>
      <w:r w:rsidRPr="00125586">
        <w:rPr>
          <w:sz w:val="22"/>
          <w:szCs w:val="22"/>
        </w:rPr>
        <w:t xml:space="preserve">:0 Reason for service users with EHCP’s contacting the service during </w:t>
      </w:r>
      <w:r w:rsidR="00EA7777" w:rsidRPr="00125586">
        <w:rPr>
          <w:sz w:val="22"/>
          <w:szCs w:val="22"/>
        </w:rPr>
        <w:t>202</w:t>
      </w:r>
      <w:r w:rsidR="002507C1" w:rsidRPr="00125586">
        <w:rPr>
          <w:sz w:val="22"/>
          <w:szCs w:val="22"/>
        </w:rPr>
        <w:t>3 Q</w:t>
      </w:r>
      <w:r w:rsidR="001C20F7">
        <w:rPr>
          <w:sz w:val="22"/>
          <w:szCs w:val="22"/>
        </w:rPr>
        <w:t>3</w:t>
      </w:r>
      <w:r w:rsidRPr="00125586">
        <w:rPr>
          <w:sz w:val="22"/>
          <w:szCs w:val="22"/>
        </w:rPr>
        <w:t>.</w:t>
      </w:r>
    </w:p>
    <w:p w:rsidR="002507C1" w:rsidRPr="002507C1" w:rsidRDefault="002507C1" w:rsidP="002507C1"/>
    <w:tbl>
      <w:tblPr>
        <w:tblStyle w:val="TableGrid"/>
        <w:tblW w:w="7933" w:type="dxa"/>
        <w:tblLook w:val="04A0" w:firstRow="1" w:lastRow="0" w:firstColumn="1" w:lastColumn="0" w:noHBand="0" w:noVBand="1"/>
        <w:tblCaption w:val="Reasons for service users with EHCP's contacting the service during 2022."/>
        <w:tblDescription w:val="A table providing a summary of the different reasons servie users with EHCP contacted the service during 2022."/>
      </w:tblPr>
      <w:tblGrid>
        <w:gridCol w:w="5228"/>
        <w:gridCol w:w="2705"/>
      </w:tblGrid>
      <w:tr w:rsidR="00F2740E" w:rsidTr="00F2740E">
        <w:trPr>
          <w:tblHeader/>
        </w:trPr>
        <w:tc>
          <w:tcPr>
            <w:tcW w:w="5228" w:type="dxa"/>
            <w:shd w:val="clear" w:color="auto" w:fill="D9D9D9" w:themeFill="background1" w:themeFillShade="D9"/>
            <w:vAlign w:val="bottom"/>
          </w:tcPr>
          <w:p w:rsidR="00F2740E" w:rsidRDefault="00F2740E" w:rsidP="00F2740E">
            <w:r w:rsidRPr="0013463F">
              <w:rPr>
                <w:rFonts w:eastAsia="Times New Roman" w:cs="Arial"/>
                <w:b/>
                <w:bCs/>
                <w:color w:val="000000"/>
                <w:sz w:val="22"/>
                <w:lang w:eastAsia="en-GB"/>
              </w:rPr>
              <w:t xml:space="preserve">EHCP Reasons for enquiry </w:t>
            </w:r>
          </w:p>
        </w:tc>
        <w:tc>
          <w:tcPr>
            <w:tcW w:w="2705" w:type="dxa"/>
            <w:shd w:val="clear" w:color="auto" w:fill="D9D9D9" w:themeFill="background1" w:themeFillShade="D9"/>
            <w:vAlign w:val="bottom"/>
          </w:tcPr>
          <w:p w:rsidR="00F2740E" w:rsidRDefault="00F2740E" w:rsidP="00F2740E">
            <w:r w:rsidRPr="0013463F">
              <w:rPr>
                <w:rFonts w:eastAsia="Times New Roman" w:cs="Arial"/>
                <w:b/>
                <w:bCs/>
                <w:sz w:val="22"/>
                <w:lang w:eastAsia="en-GB"/>
              </w:rPr>
              <w:t>N</w:t>
            </w:r>
            <w:r>
              <w:rPr>
                <w:rFonts w:eastAsia="Times New Roman" w:cs="Arial"/>
                <w:b/>
                <w:bCs/>
                <w:sz w:val="22"/>
                <w:lang w:eastAsia="en-GB"/>
              </w:rPr>
              <w:t>umber of enquiries</w:t>
            </w:r>
            <w:r w:rsidRPr="0013463F">
              <w:rPr>
                <w:rFonts w:eastAsia="Times New Roman" w:cs="Arial"/>
                <w:b/>
                <w:bCs/>
                <w:sz w:val="22"/>
                <w:lang w:eastAsia="en-GB"/>
              </w:rPr>
              <w:t>.</w:t>
            </w:r>
          </w:p>
        </w:tc>
      </w:tr>
      <w:tr w:rsidR="006E3D45" w:rsidTr="00F03507">
        <w:trPr>
          <w:tblHeader/>
        </w:trPr>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Admissions</w:t>
            </w:r>
          </w:p>
        </w:tc>
        <w:tc>
          <w:tcPr>
            <w:tcW w:w="2705" w:type="dxa"/>
            <w:tcBorders>
              <w:top w:val="single" w:sz="4" w:space="0" w:color="auto"/>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color w:val="000000"/>
                <w:sz w:val="22"/>
              </w:rPr>
            </w:pPr>
            <w:r w:rsidRPr="00BD4B1B">
              <w:rPr>
                <w:rFonts w:cs="Arial"/>
                <w:color w:val="000000"/>
                <w:sz w:val="22"/>
              </w:rPr>
              <w:t>6</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Annual Review Support</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color w:val="000000"/>
                <w:sz w:val="22"/>
              </w:rPr>
            </w:pPr>
            <w:r w:rsidRPr="00BD4B1B">
              <w:rPr>
                <w:rFonts w:cs="Arial"/>
                <w:color w:val="000000"/>
                <w:sz w:val="22"/>
              </w:rPr>
              <w:t>6</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Attendance</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color w:val="000000"/>
                <w:sz w:val="22"/>
              </w:rPr>
            </w:pPr>
            <w:r w:rsidRPr="00BD4B1B">
              <w:rPr>
                <w:rFonts w:cs="Arial"/>
                <w:color w:val="000000"/>
                <w:sz w:val="22"/>
              </w:rPr>
              <w:t>1</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Complaints school</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color w:val="000000"/>
                <w:sz w:val="22"/>
              </w:rPr>
            </w:pPr>
            <w:r w:rsidRPr="00BD4B1B">
              <w:rPr>
                <w:rFonts w:cs="Arial"/>
                <w:color w:val="000000"/>
                <w:sz w:val="22"/>
              </w:rPr>
              <w:t>2</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EHCP appeal</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EHCP content/placement</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9</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EHCP placement advice</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EHCP requests/needs assessment</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4</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EHCP review</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6</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Emotional Based School Non Attendance</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5</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Exclusions</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Health</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Mediation support</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Mental Wellbeing</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Reduced timetable (part-time timetables)</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2</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Setting not following EHCP</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3</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Signposted to Health</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F03507">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Signposted to LA Services</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7</w:t>
            </w:r>
          </w:p>
        </w:tc>
      </w:tr>
      <w:tr w:rsidR="006E3D45" w:rsidTr="006E3D45">
        <w:trPr>
          <w:tblHeader/>
        </w:trPr>
        <w:tc>
          <w:tcPr>
            <w:tcW w:w="5228" w:type="dxa"/>
            <w:tcBorders>
              <w:top w:val="nil"/>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Signposted to LA Services -Social Care</w:t>
            </w:r>
          </w:p>
        </w:tc>
        <w:tc>
          <w:tcPr>
            <w:tcW w:w="2705" w:type="dxa"/>
            <w:tcBorders>
              <w:top w:val="nil"/>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6E3D45">
        <w:trPr>
          <w:tblHeader/>
        </w:trPr>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Signposted to PCF</w:t>
            </w:r>
          </w:p>
        </w:tc>
        <w:tc>
          <w:tcPr>
            <w:tcW w:w="2705" w:type="dxa"/>
            <w:tcBorders>
              <w:top w:val="single" w:sz="4" w:space="0" w:color="auto"/>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6E3D45">
        <w:trPr>
          <w:tblHeader/>
        </w:trPr>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Signposted to Support Groups</w:t>
            </w:r>
          </w:p>
        </w:tc>
        <w:tc>
          <w:tcPr>
            <w:tcW w:w="2705" w:type="dxa"/>
            <w:tcBorders>
              <w:top w:val="single" w:sz="4" w:space="0" w:color="auto"/>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3</w:t>
            </w:r>
          </w:p>
        </w:tc>
      </w:tr>
      <w:tr w:rsidR="006E3D45" w:rsidTr="006E3D45">
        <w:trPr>
          <w:tblHeader/>
        </w:trPr>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Social care</w:t>
            </w:r>
          </w:p>
        </w:tc>
        <w:tc>
          <w:tcPr>
            <w:tcW w:w="2705" w:type="dxa"/>
            <w:tcBorders>
              <w:top w:val="single" w:sz="4" w:space="0" w:color="auto"/>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1</w:t>
            </w:r>
          </w:p>
        </w:tc>
      </w:tr>
      <w:tr w:rsidR="006E3D45" w:rsidTr="006E3D45">
        <w:trPr>
          <w:tblHeader/>
        </w:trPr>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Transition</w:t>
            </w:r>
          </w:p>
        </w:tc>
        <w:tc>
          <w:tcPr>
            <w:tcW w:w="2705" w:type="dxa"/>
            <w:tcBorders>
              <w:top w:val="single" w:sz="4" w:space="0" w:color="auto"/>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6</w:t>
            </w:r>
          </w:p>
        </w:tc>
      </w:tr>
      <w:tr w:rsidR="006E3D45" w:rsidTr="006E3D45">
        <w:trPr>
          <w:tblHeader/>
        </w:trPr>
        <w:tc>
          <w:tcPr>
            <w:tcW w:w="522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3D45" w:rsidRPr="00BD4B1B" w:rsidRDefault="006E3D45" w:rsidP="006E3D45">
            <w:pPr>
              <w:rPr>
                <w:rFonts w:cs="Arial"/>
                <w:color w:val="000000"/>
                <w:sz w:val="22"/>
              </w:rPr>
            </w:pPr>
            <w:r w:rsidRPr="00BD4B1B">
              <w:rPr>
                <w:rFonts w:cs="Arial"/>
                <w:color w:val="000000"/>
                <w:sz w:val="22"/>
              </w:rPr>
              <w:t>Transport</w:t>
            </w:r>
          </w:p>
        </w:tc>
        <w:tc>
          <w:tcPr>
            <w:tcW w:w="2705" w:type="dxa"/>
            <w:tcBorders>
              <w:top w:val="single" w:sz="4" w:space="0" w:color="auto"/>
              <w:left w:val="nil"/>
              <w:bottom w:val="single" w:sz="4" w:space="0" w:color="auto"/>
              <w:right w:val="single" w:sz="4" w:space="0" w:color="auto"/>
            </w:tcBorders>
            <w:shd w:val="clear" w:color="auto" w:fill="FFFFFF" w:themeFill="background1"/>
            <w:vAlign w:val="bottom"/>
          </w:tcPr>
          <w:p w:rsidR="006E3D45" w:rsidRPr="00BD4B1B" w:rsidRDefault="006E3D45" w:rsidP="006E3D45">
            <w:pPr>
              <w:jc w:val="center"/>
              <w:rPr>
                <w:rFonts w:cs="Arial"/>
                <w:b/>
                <w:bCs/>
                <w:color w:val="000000"/>
                <w:sz w:val="22"/>
              </w:rPr>
            </w:pPr>
            <w:r w:rsidRPr="00BD4B1B">
              <w:rPr>
                <w:rFonts w:cs="Arial"/>
                <w:b/>
                <w:bCs/>
                <w:color w:val="000000"/>
                <w:sz w:val="22"/>
              </w:rPr>
              <w:t>7</w:t>
            </w:r>
          </w:p>
        </w:tc>
      </w:tr>
    </w:tbl>
    <w:p w:rsidR="00F2740E" w:rsidRDefault="00F2740E" w:rsidP="00D47B69">
      <w:pPr>
        <w:jc w:val="both"/>
      </w:pPr>
    </w:p>
    <w:p w:rsidR="00E33D8B" w:rsidRPr="008178B3" w:rsidRDefault="00167382" w:rsidP="00D47B69">
      <w:pPr>
        <w:jc w:val="both"/>
      </w:pPr>
      <w:r w:rsidRPr="008178B3">
        <w:lastRenderedPageBreak/>
        <w:t xml:space="preserve">Table </w:t>
      </w:r>
      <w:r w:rsidR="00297529">
        <w:t>9</w:t>
      </w:r>
      <w:r w:rsidRPr="008178B3">
        <w:t>:0 provides a summary of the reasons why service users without an EHCP approach the service for support</w:t>
      </w:r>
      <w:r w:rsidR="005C29FF">
        <w:t xml:space="preserve"> during quarter </w:t>
      </w:r>
      <w:r w:rsidR="000D094F">
        <w:t>two</w:t>
      </w:r>
      <w:r w:rsidRPr="008178B3">
        <w:t xml:space="preserve">. </w:t>
      </w:r>
    </w:p>
    <w:p w:rsidR="001C5178" w:rsidRPr="00125586" w:rsidRDefault="00E33D8B" w:rsidP="00125586">
      <w:pPr>
        <w:pStyle w:val="Heading2"/>
        <w:rPr>
          <w:sz w:val="22"/>
          <w:szCs w:val="22"/>
        </w:rPr>
      </w:pPr>
      <w:r w:rsidRPr="00125586">
        <w:rPr>
          <w:sz w:val="22"/>
          <w:szCs w:val="22"/>
        </w:rPr>
        <w:t xml:space="preserve">Table </w:t>
      </w:r>
      <w:r w:rsidR="00297529" w:rsidRPr="00125586">
        <w:rPr>
          <w:sz w:val="22"/>
          <w:szCs w:val="22"/>
        </w:rPr>
        <w:t>9</w:t>
      </w:r>
      <w:r w:rsidR="001C5178" w:rsidRPr="00125586">
        <w:rPr>
          <w:sz w:val="22"/>
          <w:szCs w:val="22"/>
        </w:rPr>
        <w:t xml:space="preserve">:0 Reason for service users without an EHCP’s contacting the service during </w:t>
      </w:r>
      <w:r w:rsidR="005C29FF" w:rsidRPr="00125586">
        <w:rPr>
          <w:sz w:val="22"/>
          <w:szCs w:val="22"/>
        </w:rPr>
        <w:t xml:space="preserve">quarter </w:t>
      </w:r>
      <w:r w:rsidR="001C20F7">
        <w:rPr>
          <w:sz w:val="22"/>
          <w:szCs w:val="22"/>
        </w:rPr>
        <w:t>3</w:t>
      </w:r>
      <w:r w:rsidR="005C29FF" w:rsidRPr="00125586">
        <w:rPr>
          <w:sz w:val="22"/>
          <w:szCs w:val="22"/>
        </w:rPr>
        <w:t xml:space="preserve"> </w:t>
      </w:r>
      <w:r w:rsidR="00EA7777" w:rsidRPr="00125586">
        <w:rPr>
          <w:sz w:val="22"/>
          <w:szCs w:val="22"/>
        </w:rPr>
        <w:t>202</w:t>
      </w:r>
      <w:r w:rsidR="005C29FF" w:rsidRPr="00125586">
        <w:rPr>
          <w:sz w:val="22"/>
          <w:szCs w:val="22"/>
        </w:rPr>
        <w:t>3</w:t>
      </w:r>
      <w:r w:rsidR="001C5178" w:rsidRPr="00125586">
        <w:rPr>
          <w:sz w:val="22"/>
          <w:szCs w:val="22"/>
        </w:rPr>
        <w:t>.</w:t>
      </w:r>
    </w:p>
    <w:p w:rsidR="00F2740E" w:rsidRDefault="00F2740E" w:rsidP="00F2740E"/>
    <w:tbl>
      <w:tblPr>
        <w:tblStyle w:val="TableGrid"/>
        <w:tblW w:w="0" w:type="auto"/>
        <w:tblLook w:val="04A0" w:firstRow="1" w:lastRow="0" w:firstColumn="1" w:lastColumn="0" w:noHBand="0" w:noVBand="1"/>
        <w:tblCaption w:val="Reasons service users without an EHCP contacted the service 2022."/>
        <w:tblDescription w:val="A table summarising the different reasons why service users with an EHCP contacted the service during 2022."/>
      </w:tblPr>
      <w:tblGrid>
        <w:gridCol w:w="5524"/>
        <w:gridCol w:w="2409"/>
      </w:tblGrid>
      <w:tr w:rsidR="00F2740E" w:rsidTr="00C06A7C">
        <w:trPr>
          <w:tblHeader/>
        </w:trPr>
        <w:tc>
          <w:tcPr>
            <w:tcW w:w="5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2740E" w:rsidRPr="00C06A7C" w:rsidRDefault="00F2740E" w:rsidP="00F2740E">
            <w:pPr>
              <w:rPr>
                <w:rFonts w:cs="Arial"/>
              </w:rPr>
            </w:pPr>
            <w:r w:rsidRPr="00C06A7C">
              <w:rPr>
                <w:rFonts w:eastAsia="Times New Roman" w:cs="Arial"/>
                <w:b/>
                <w:bCs/>
                <w:color w:val="000000"/>
                <w:sz w:val="22"/>
                <w:lang w:eastAsia="en-GB"/>
              </w:rPr>
              <w:t xml:space="preserve">No EHCP Reasons for enquiry </w:t>
            </w:r>
          </w:p>
        </w:tc>
        <w:tc>
          <w:tcPr>
            <w:tcW w:w="2409"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F2740E" w:rsidRPr="00C06A7C" w:rsidRDefault="00F2740E" w:rsidP="00F2740E">
            <w:pPr>
              <w:rPr>
                <w:rFonts w:cs="Arial"/>
              </w:rPr>
            </w:pPr>
            <w:r w:rsidRPr="00C06A7C">
              <w:rPr>
                <w:rFonts w:eastAsia="Times New Roman" w:cs="Arial"/>
                <w:b/>
                <w:bCs/>
                <w:color w:val="000000"/>
                <w:sz w:val="22"/>
                <w:lang w:eastAsia="en-GB"/>
              </w:rPr>
              <w:t>Number of enquires</w:t>
            </w:r>
          </w:p>
        </w:tc>
      </w:tr>
      <w:tr w:rsidR="006E3D45" w:rsidRPr="00F03507" w:rsidTr="006E3D45">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Admissions</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5</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Benefits Advice</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4</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Bullying</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1</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Complaints School</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1</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Disability discrimination</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1</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EHC needs assessment</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40</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EHCNA- refusal</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6</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EHCP co-ordination support</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4</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EHCP draft review/advice</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4</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EHCP placement advice</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1</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Emotional Based School Non Attendance</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9</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Exclusions</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2</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Health</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3</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Mediation Support</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2</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Reduced timetable (part-time timetables)</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2</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SEN Support</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32</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Signposted to Health</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3</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Signposted to Support Groups</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7</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Social care</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2</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Transition</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5</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Transport</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2</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Tribunal Support- Advice EHCNA</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7</w:t>
            </w:r>
          </w:p>
        </w:tc>
      </w:tr>
      <w:tr w:rsidR="006E3D45" w:rsidRPr="00F03507" w:rsidTr="006E3D45">
        <w:trPr>
          <w:trHeight w:val="300"/>
        </w:trPr>
        <w:tc>
          <w:tcPr>
            <w:tcW w:w="5524" w:type="dxa"/>
            <w:tcBorders>
              <w:top w:val="nil"/>
              <w:left w:val="single" w:sz="4" w:space="0" w:color="auto"/>
              <w:bottom w:val="single" w:sz="4" w:space="0" w:color="auto"/>
              <w:right w:val="single" w:sz="4" w:space="0" w:color="auto"/>
            </w:tcBorders>
            <w:shd w:val="clear" w:color="auto" w:fill="FFFFFF" w:themeFill="background1"/>
            <w:noWrap/>
            <w:vAlign w:val="bottom"/>
          </w:tcPr>
          <w:p w:rsidR="006E3D45" w:rsidRPr="006E3D45" w:rsidRDefault="006E3D45" w:rsidP="006E3D45">
            <w:pPr>
              <w:rPr>
                <w:rFonts w:cs="Arial"/>
                <w:color w:val="000000"/>
                <w:sz w:val="22"/>
              </w:rPr>
            </w:pPr>
            <w:r w:rsidRPr="006E3D45">
              <w:rPr>
                <w:rFonts w:cs="Arial"/>
                <w:color w:val="000000"/>
                <w:sz w:val="22"/>
              </w:rPr>
              <w:t>Tribunal Support- Advice EHCP</w:t>
            </w:r>
          </w:p>
        </w:tc>
        <w:tc>
          <w:tcPr>
            <w:tcW w:w="2409" w:type="dxa"/>
            <w:tcBorders>
              <w:top w:val="nil"/>
              <w:left w:val="nil"/>
              <w:bottom w:val="single" w:sz="4" w:space="0" w:color="auto"/>
              <w:right w:val="single" w:sz="4" w:space="0" w:color="auto"/>
            </w:tcBorders>
            <w:shd w:val="clear" w:color="auto" w:fill="FFFFFF" w:themeFill="background1"/>
            <w:noWrap/>
            <w:vAlign w:val="bottom"/>
          </w:tcPr>
          <w:p w:rsidR="006E3D45" w:rsidRPr="006E3D45" w:rsidRDefault="006E3D45" w:rsidP="006E3D45">
            <w:pPr>
              <w:jc w:val="center"/>
              <w:rPr>
                <w:rFonts w:cs="Arial"/>
                <w:b/>
                <w:bCs/>
                <w:color w:val="000000"/>
                <w:sz w:val="22"/>
              </w:rPr>
            </w:pPr>
            <w:r w:rsidRPr="006E3D45">
              <w:rPr>
                <w:rFonts w:cs="Arial"/>
                <w:b/>
                <w:bCs/>
                <w:color w:val="000000"/>
                <w:sz w:val="22"/>
              </w:rPr>
              <w:t>1</w:t>
            </w:r>
          </w:p>
        </w:tc>
      </w:tr>
    </w:tbl>
    <w:p w:rsidR="005D7659" w:rsidRDefault="005D7659" w:rsidP="005D7659"/>
    <w:p w:rsidR="005D7659" w:rsidRDefault="00BE6FE9" w:rsidP="0074419A">
      <w:pPr>
        <w:jc w:val="both"/>
      </w:pPr>
      <w:r w:rsidRPr="008B7DCB">
        <w:rPr>
          <w:rFonts w:cs="Arial"/>
          <w:szCs w:val="24"/>
        </w:rPr>
        <w:t xml:space="preserve">To address these key areas of need within our service we </w:t>
      </w:r>
      <w:r w:rsidR="0074419A">
        <w:rPr>
          <w:rFonts w:cs="Arial"/>
          <w:szCs w:val="24"/>
        </w:rPr>
        <w:t>have developed</w:t>
      </w:r>
      <w:r w:rsidRPr="008B7DCB">
        <w:rPr>
          <w:rFonts w:cs="Arial"/>
          <w:szCs w:val="24"/>
        </w:rPr>
        <w:t xml:space="preserve"> </w:t>
      </w:r>
      <w:r w:rsidR="006F5616">
        <w:rPr>
          <w:rFonts w:cs="Arial"/>
          <w:szCs w:val="24"/>
        </w:rPr>
        <w:t>Frequently Asked Questions (</w:t>
      </w:r>
      <w:r w:rsidRPr="008B7DCB">
        <w:rPr>
          <w:rFonts w:cs="Arial"/>
          <w:szCs w:val="24"/>
        </w:rPr>
        <w:t>FAQ’s</w:t>
      </w:r>
      <w:r w:rsidR="006F5616">
        <w:rPr>
          <w:rFonts w:cs="Arial"/>
          <w:szCs w:val="24"/>
        </w:rPr>
        <w:t>)</w:t>
      </w:r>
      <w:r w:rsidRPr="008B7DCB">
        <w:rPr>
          <w:rFonts w:cs="Arial"/>
          <w:szCs w:val="24"/>
        </w:rPr>
        <w:t xml:space="preserve"> to further supplement our existing resources on our website relating to these key themes.</w:t>
      </w:r>
      <w:r w:rsidR="0074419A">
        <w:rPr>
          <w:rFonts w:cs="Arial"/>
          <w:szCs w:val="24"/>
        </w:rPr>
        <w:t xml:space="preserve"> In addition we have produced an animated short video to explain SEN Support in schools and co-produced a webinar on Education, Health Care Needs Assessment requests which is available on our website.</w:t>
      </w:r>
      <w:r w:rsidRPr="008B7DCB">
        <w:rPr>
          <w:rFonts w:cs="Arial"/>
          <w:szCs w:val="24"/>
        </w:rPr>
        <w:t xml:space="preserve"> </w:t>
      </w:r>
    </w:p>
    <w:p w:rsidR="00286088" w:rsidRPr="00037825" w:rsidRDefault="00EA7777" w:rsidP="002A5C20">
      <w:pPr>
        <w:pStyle w:val="Heading1"/>
        <w:rPr>
          <w:sz w:val="28"/>
          <w:szCs w:val="28"/>
        </w:rPr>
      </w:pPr>
      <w:r w:rsidRPr="00037825">
        <w:rPr>
          <w:sz w:val="28"/>
          <w:szCs w:val="28"/>
        </w:rPr>
        <w:t>202</w:t>
      </w:r>
      <w:r w:rsidR="002507C1" w:rsidRPr="00037825">
        <w:rPr>
          <w:sz w:val="28"/>
          <w:szCs w:val="28"/>
        </w:rPr>
        <w:t>3</w:t>
      </w:r>
      <w:r w:rsidRPr="00037825">
        <w:rPr>
          <w:sz w:val="28"/>
          <w:szCs w:val="28"/>
        </w:rPr>
        <w:t xml:space="preserve"> - </w:t>
      </w:r>
      <w:r w:rsidR="002A5C20" w:rsidRPr="00037825">
        <w:rPr>
          <w:sz w:val="28"/>
          <w:szCs w:val="28"/>
        </w:rPr>
        <w:t>SENDIAS service website</w:t>
      </w:r>
    </w:p>
    <w:p w:rsidR="00D47B69" w:rsidRDefault="00D47B69" w:rsidP="00D47B69">
      <w:pPr>
        <w:autoSpaceDE w:val="0"/>
        <w:autoSpaceDN w:val="0"/>
        <w:adjustRightInd w:val="0"/>
        <w:spacing w:after="0" w:line="240" w:lineRule="auto"/>
        <w:jc w:val="both"/>
        <w:rPr>
          <w:rFonts w:cs="Arial"/>
        </w:rPr>
      </w:pPr>
      <w:r>
        <w:rPr>
          <w:rFonts w:cs="Arial"/>
        </w:rPr>
        <w:t>Alongside our direct support for service user</w:t>
      </w:r>
      <w:r w:rsidR="00283975" w:rsidRPr="009327F2">
        <w:rPr>
          <w:rFonts w:cs="Arial"/>
        </w:rPr>
        <w:t>,</w:t>
      </w:r>
      <w:r w:rsidRPr="009327F2">
        <w:rPr>
          <w:rFonts w:cs="Arial"/>
        </w:rPr>
        <w:t xml:space="preserve"> </w:t>
      </w:r>
      <w:r>
        <w:rPr>
          <w:rFonts w:cs="Arial"/>
        </w:rPr>
        <w:t>the service also has a standalone website.</w:t>
      </w:r>
      <w:r w:rsidRPr="007A1AC8">
        <w:rPr>
          <w:rFonts w:cs="Arial"/>
        </w:rPr>
        <w:t xml:space="preserve"> </w:t>
      </w:r>
      <w:r>
        <w:rPr>
          <w:rFonts w:cs="Arial"/>
        </w:rPr>
        <w:t xml:space="preserve">The </w:t>
      </w:r>
      <w:r w:rsidRPr="007A1AC8">
        <w:rPr>
          <w:rFonts w:cs="Arial"/>
        </w:rPr>
        <w:t xml:space="preserve">content and design is maintained and developed by </w:t>
      </w:r>
      <w:r>
        <w:rPr>
          <w:rFonts w:cs="Arial"/>
        </w:rPr>
        <w:t>Luton SENDIAS staff.</w:t>
      </w:r>
      <w:r w:rsidRPr="007A1AC8">
        <w:rPr>
          <w:rFonts w:cs="Arial"/>
        </w:rPr>
        <w:t xml:space="preserve"> There </w:t>
      </w:r>
      <w:r w:rsidRPr="007A1AC8">
        <w:rPr>
          <w:rFonts w:cs="Arial"/>
        </w:rPr>
        <w:lastRenderedPageBreak/>
        <w:t>is a wide range of resources available for service users on the website.</w:t>
      </w:r>
    </w:p>
    <w:p w:rsidR="00BC41C5" w:rsidRDefault="005C29FF" w:rsidP="00D47B69">
      <w:pPr>
        <w:autoSpaceDE w:val="0"/>
        <w:autoSpaceDN w:val="0"/>
        <w:adjustRightInd w:val="0"/>
        <w:spacing w:after="0" w:line="240" w:lineRule="auto"/>
        <w:jc w:val="both"/>
        <w:rPr>
          <w:rFonts w:cs="Arial"/>
        </w:rPr>
      </w:pPr>
      <w:r>
        <w:rPr>
          <w:rFonts w:cs="Arial"/>
        </w:rPr>
        <w:t xml:space="preserve">Figure </w:t>
      </w:r>
      <w:r w:rsidR="00297529">
        <w:rPr>
          <w:rFonts w:cs="Arial"/>
        </w:rPr>
        <w:t>5</w:t>
      </w:r>
      <w:r>
        <w:rPr>
          <w:rFonts w:cs="Arial"/>
        </w:rPr>
        <w:t xml:space="preserve"> provides a summary of the number of views the service’s website for each month of quarter </w:t>
      </w:r>
      <w:r w:rsidR="000D094F">
        <w:rPr>
          <w:rFonts w:cs="Arial"/>
        </w:rPr>
        <w:t>two</w:t>
      </w:r>
      <w:r>
        <w:rPr>
          <w:rFonts w:cs="Arial"/>
        </w:rPr>
        <w:t>.</w:t>
      </w:r>
    </w:p>
    <w:p w:rsidR="00754383" w:rsidRDefault="001D5A58" w:rsidP="00125586">
      <w:pPr>
        <w:pStyle w:val="Heading2"/>
        <w:rPr>
          <w:sz w:val="22"/>
          <w:szCs w:val="22"/>
        </w:rPr>
      </w:pPr>
      <w:r w:rsidRPr="00125586">
        <w:rPr>
          <w:sz w:val="22"/>
          <w:szCs w:val="22"/>
        </w:rPr>
        <w:t xml:space="preserve">Figure </w:t>
      </w:r>
      <w:r w:rsidR="00297529" w:rsidRPr="00125586">
        <w:rPr>
          <w:sz w:val="22"/>
          <w:szCs w:val="22"/>
        </w:rPr>
        <w:t>5</w:t>
      </w:r>
      <w:r w:rsidRPr="00125586">
        <w:rPr>
          <w:sz w:val="22"/>
          <w:szCs w:val="22"/>
        </w:rPr>
        <w:t xml:space="preserve">:0 Summary of </w:t>
      </w:r>
      <w:r w:rsidR="00754383" w:rsidRPr="00125586">
        <w:rPr>
          <w:sz w:val="22"/>
          <w:szCs w:val="22"/>
        </w:rPr>
        <w:t>the SENDIAS service website</w:t>
      </w:r>
      <w:r w:rsidRPr="00125586">
        <w:rPr>
          <w:sz w:val="22"/>
          <w:szCs w:val="22"/>
        </w:rPr>
        <w:t xml:space="preserve"> use per month</w:t>
      </w:r>
      <w:r w:rsidR="00754383" w:rsidRPr="00125586">
        <w:rPr>
          <w:sz w:val="22"/>
          <w:szCs w:val="22"/>
        </w:rPr>
        <w:t xml:space="preserve"> for </w:t>
      </w:r>
      <w:r w:rsidR="00EA7777" w:rsidRPr="00125586">
        <w:rPr>
          <w:sz w:val="22"/>
          <w:szCs w:val="22"/>
        </w:rPr>
        <w:t>202</w:t>
      </w:r>
      <w:r w:rsidR="002507C1" w:rsidRPr="00125586">
        <w:rPr>
          <w:sz w:val="22"/>
          <w:szCs w:val="22"/>
        </w:rPr>
        <w:t>3 Q</w:t>
      </w:r>
      <w:r w:rsidR="001C20F7">
        <w:rPr>
          <w:sz w:val="22"/>
          <w:szCs w:val="22"/>
        </w:rPr>
        <w:t>3</w:t>
      </w:r>
      <w:r w:rsidR="00754383" w:rsidRPr="00125586">
        <w:rPr>
          <w:sz w:val="22"/>
          <w:szCs w:val="22"/>
        </w:rPr>
        <w:t>.</w:t>
      </w:r>
    </w:p>
    <w:p w:rsidR="008205AC" w:rsidRDefault="008205AC" w:rsidP="008205AC"/>
    <w:p w:rsidR="008205AC" w:rsidRPr="008205AC" w:rsidRDefault="008205AC" w:rsidP="008205AC">
      <w:r>
        <w:rPr>
          <w:noProof/>
          <w:lang w:eastAsia="en-GB"/>
        </w:rPr>
        <w:drawing>
          <wp:inline distT="0" distB="0" distL="0" distR="0" wp14:anchorId="089AD735">
            <wp:extent cx="5255260" cy="2822575"/>
            <wp:effectExtent l="0" t="0" r="2540" b="0"/>
            <wp:docPr id="12" name="Picture 12" descr="A bar chart that summarises the total number of views on the service's website for each month of quarter three" title="SENDIAS service quarter three website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5260" cy="2822575"/>
                    </a:xfrm>
                    <a:prstGeom prst="rect">
                      <a:avLst/>
                    </a:prstGeom>
                    <a:noFill/>
                  </pic:spPr>
                </pic:pic>
              </a:graphicData>
            </a:graphic>
          </wp:inline>
        </w:drawing>
      </w:r>
    </w:p>
    <w:p w:rsidR="0071253C" w:rsidRPr="0071253C" w:rsidRDefault="0071253C" w:rsidP="0071253C"/>
    <w:p w:rsidR="005C29FF" w:rsidRPr="00D7198D" w:rsidRDefault="005C29FF" w:rsidP="00D7198D">
      <w:r>
        <w:lastRenderedPageBreak/>
        <w:t xml:space="preserve">Figure </w:t>
      </w:r>
      <w:r w:rsidR="00297529">
        <w:t>6</w:t>
      </w:r>
      <w:r>
        <w:t xml:space="preserve"> provides a comparison of the average use of the service’s website between 2020 to 2023 quarter one.</w:t>
      </w:r>
    </w:p>
    <w:p w:rsidR="0085313E" w:rsidRDefault="0085313E" w:rsidP="00125586">
      <w:pPr>
        <w:pStyle w:val="Heading2"/>
        <w:rPr>
          <w:sz w:val="22"/>
          <w:szCs w:val="22"/>
        </w:rPr>
      </w:pPr>
      <w:r w:rsidRPr="00125586">
        <w:rPr>
          <w:sz w:val="22"/>
          <w:szCs w:val="22"/>
        </w:rPr>
        <w:t xml:space="preserve">Figure </w:t>
      </w:r>
      <w:r w:rsidR="00297529" w:rsidRPr="00125586">
        <w:rPr>
          <w:sz w:val="22"/>
          <w:szCs w:val="22"/>
        </w:rPr>
        <w:t>6</w:t>
      </w:r>
      <w:r w:rsidRPr="00125586">
        <w:rPr>
          <w:sz w:val="22"/>
          <w:szCs w:val="22"/>
        </w:rPr>
        <w:t xml:space="preserve">:0 SENDIAS service website </w:t>
      </w:r>
      <w:r w:rsidR="005C29FF" w:rsidRPr="00125586">
        <w:rPr>
          <w:sz w:val="22"/>
          <w:szCs w:val="22"/>
        </w:rPr>
        <w:t xml:space="preserve">average </w:t>
      </w:r>
      <w:r w:rsidRPr="00125586">
        <w:rPr>
          <w:sz w:val="22"/>
          <w:szCs w:val="22"/>
        </w:rPr>
        <w:t>use</w:t>
      </w:r>
      <w:r w:rsidR="005C29FF" w:rsidRPr="00125586">
        <w:rPr>
          <w:sz w:val="22"/>
          <w:szCs w:val="22"/>
        </w:rPr>
        <w:t xml:space="preserve"> per month </w:t>
      </w:r>
      <w:r w:rsidRPr="00125586">
        <w:rPr>
          <w:sz w:val="22"/>
          <w:szCs w:val="22"/>
        </w:rPr>
        <w:t>2020 to 202</w:t>
      </w:r>
      <w:r w:rsidR="005C29FF" w:rsidRPr="00125586">
        <w:rPr>
          <w:sz w:val="22"/>
          <w:szCs w:val="22"/>
        </w:rPr>
        <w:t xml:space="preserve">3 quarter </w:t>
      </w:r>
      <w:r w:rsidR="000D094F">
        <w:rPr>
          <w:sz w:val="22"/>
          <w:szCs w:val="22"/>
        </w:rPr>
        <w:t>t</w:t>
      </w:r>
      <w:r w:rsidR="001C20F7">
        <w:rPr>
          <w:sz w:val="22"/>
          <w:szCs w:val="22"/>
        </w:rPr>
        <w:t>hree</w:t>
      </w:r>
      <w:r w:rsidRPr="00125586">
        <w:rPr>
          <w:sz w:val="22"/>
          <w:szCs w:val="22"/>
        </w:rPr>
        <w:t>.</w:t>
      </w:r>
    </w:p>
    <w:p w:rsidR="00A27665" w:rsidRPr="00A27665" w:rsidRDefault="00A27665" w:rsidP="00A27665">
      <w:r>
        <w:rPr>
          <w:noProof/>
          <w:lang w:eastAsia="en-GB"/>
        </w:rPr>
        <w:drawing>
          <wp:inline distT="0" distB="0" distL="0" distR="0" wp14:anchorId="42D391C4">
            <wp:extent cx="4676140" cy="2615565"/>
            <wp:effectExtent l="0" t="0" r="0" b="0"/>
            <wp:docPr id="24" name="Picture 24" descr="A bar chart that summarises average numbers of views to the services website from 2020 to 2023 quarter three." title="SENDIAS service average use of the website per month from 2020 to 2023 quarter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6140" cy="2615565"/>
                    </a:xfrm>
                    <a:prstGeom prst="rect">
                      <a:avLst/>
                    </a:prstGeom>
                    <a:noFill/>
                  </pic:spPr>
                </pic:pic>
              </a:graphicData>
            </a:graphic>
          </wp:inline>
        </w:drawing>
      </w:r>
    </w:p>
    <w:p w:rsidR="0085313E" w:rsidRDefault="0085313E" w:rsidP="0013463F">
      <w:pPr>
        <w:jc w:val="center"/>
        <w:rPr>
          <w:noProof/>
          <w:lang w:eastAsia="en-GB"/>
        </w:rPr>
      </w:pPr>
    </w:p>
    <w:p w:rsidR="00D7198D" w:rsidRDefault="005C29FF" w:rsidP="001B12C9">
      <w:pPr>
        <w:rPr>
          <w:noProof/>
          <w:lang w:eastAsia="en-GB"/>
        </w:rPr>
      </w:pPr>
      <w:r>
        <w:rPr>
          <w:noProof/>
          <w:lang w:eastAsia="en-GB"/>
        </w:rPr>
        <w:t xml:space="preserve">Table </w:t>
      </w:r>
      <w:r w:rsidR="00297529">
        <w:rPr>
          <w:noProof/>
          <w:lang w:eastAsia="en-GB"/>
        </w:rPr>
        <w:t>10.0</w:t>
      </w:r>
      <w:r>
        <w:rPr>
          <w:noProof/>
          <w:lang w:eastAsia="en-GB"/>
        </w:rPr>
        <w:t xml:space="preserve"> provides a summary of the most frequently used pages of the website during quarter </w:t>
      </w:r>
      <w:r w:rsidR="000D094F">
        <w:rPr>
          <w:noProof/>
          <w:lang w:eastAsia="en-GB"/>
        </w:rPr>
        <w:t>two</w:t>
      </w:r>
      <w:r>
        <w:rPr>
          <w:noProof/>
          <w:lang w:eastAsia="en-GB"/>
        </w:rPr>
        <w:t>.</w:t>
      </w:r>
    </w:p>
    <w:p w:rsidR="000A7174" w:rsidRPr="00125586" w:rsidRDefault="00754383" w:rsidP="00A0675E">
      <w:pPr>
        <w:pStyle w:val="Heading1"/>
        <w:rPr>
          <w:sz w:val="22"/>
          <w:szCs w:val="22"/>
        </w:rPr>
      </w:pPr>
      <w:r w:rsidRPr="00125586">
        <w:rPr>
          <w:sz w:val="22"/>
          <w:szCs w:val="22"/>
        </w:rPr>
        <w:lastRenderedPageBreak/>
        <w:t xml:space="preserve">Table </w:t>
      </w:r>
      <w:r w:rsidR="00297529" w:rsidRPr="00125586">
        <w:rPr>
          <w:sz w:val="22"/>
          <w:szCs w:val="22"/>
        </w:rPr>
        <w:t>10</w:t>
      </w:r>
      <w:r w:rsidRPr="00125586">
        <w:rPr>
          <w:sz w:val="22"/>
          <w:szCs w:val="22"/>
        </w:rPr>
        <w:t xml:space="preserve">:0: </w:t>
      </w:r>
      <w:r w:rsidR="00F64376">
        <w:rPr>
          <w:sz w:val="22"/>
          <w:szCs w:val="22"/>
        </w:rPr>
        <w:t>T</w:t>
      </w:r>
      <w:r w:rsidRPr="00125586">
        <w:rPr>
          <w:sz w:val="22"/>
          <w:szCs w:val="22"/>
        </w:rPr>
        <w:t xml:space="preserve">op ten pages viewed on the SENDIAS website during </w:t>
      </w:r>
      <w:r w:rsidR="00EA7777" w:rsidRPr="00125586">
        <w:rPr>
          <w:sz w:val="22"/>
          <w:szCs w:val="22"/>
        </w:rPr>
        <w:t>202</w:t>
      </w:r>
      <w:r w:rsidR="002507C1" w:rsidRPr="00125586">
        <w:rPr>
          <w:sz w:val="22"/>
          <w:szCs w:val="22"/>
        </w:rPr>
        <w:t>3 Q</w:t>
      </w:r>
      <w:r w:rsidR="001C20F7">
        <w:rPr>
          <w:sz w:val="22"/>
          <w:szCs w:val="22"/>
        </w:rPr>
        <w:t>3</w:t>
      </w:r>
      <w:r w:rsidRPr="00125586">
        <w:rPr>
          <w:sz w:val="22"/>
          <w:szCs w:val="22"/>
        </w:rPr>
        <w:t>.</w:t>
      </w:r>
    </w:p>
    <w:tbl>
      <w:tblPr>
        <w:tblStyle w:val="TableGrid"/>
        <w:tblW w:w="0" w:type="auto"/>
        <w:tblLook w:val="04A0" w:firstRow="1" w:lastRow="0" w:firstColumn="1" w:lastColumn="0" w:noHBand="0" w:noVBand="1"/>
        <w:tblCaption w:val="A summary of the top ten pages viewed on the SENDIAS website during 2022."/>
        <w:tblDescription w:val="A table summarising the top ten pages visted and the total number of views for each page."/>
      </w:tblPr>
      <w:tblGrid>
        <w:gridCol w:w="4248"/>
        <w:gridCol w:w="2268"/>
      </w:tblGrid>
      <w:tr w:rsidR="00D05434" w:rsidTr="001423B4">
        <w:trPr>
          <w:tblHeader/>
        </w:trPr>
        <w:tc>
          <w:tcPr>
            <w:tcW w:w="4248" w:type="dxa"/>
            <w:tcBorders>
              <w:bottom w:val="single" w:sz="4" w:space="0" w:color="auto"/>
            </w:tcBorders>
            <w:vAlign w:val="center"/>
          </w:tcPr>
          <w:p w:rsidR="00D05434" w:rsidRDefault="00D05434" w:rsidP="002507C1">
            <w:r w:rsidRPr="001C3984">
              <w:rPr>
                <w:rFonts w:eastAsia="Times New Roman" w:cs="Arial"/>
                <w:b/>
                <w:bCs/>
                <w:color w:val="000000"/>
                <w:sz w:val="22"/>
                <w:lang w:eastAsia="en-GB"/>
              </w:rPr>
              <w:t>Website Most Popular Pages viewed 202</w:t>
            </w:r>
            <w:r w:rsidR="002507C1">
              <w:rPr>
                <w:rFonts w:eastAsia="Times New Roman" w:cs="Arial"/>
                <w:b/>
                <w:bCs/>
                <w:color w:val="000000"/>
                <w:sz w:val="22"/>
                <w:lang w:eastAsia="en-GB"/>
              </w:rPr>
              <w:t>3</w:t>
            </w:r>
          </w:p>
        </w:tc>
        <w:tc>
          <w:tcPr>
            <w:tcW w:w="2268" w:type="dxa"/>
            <w:tcBorders>
              <w:bottom w:val="single" w:sz="4" w:space="0" w:color="auto"/>
            </w:tcBorders>
            <w:vAlign w:val="center"/>
          </w:tcPr>
          <w:p w:rsidR="00D05434" w:rsidRDefault="00D05434" w:rsidP="00D05434">
            <w:pPr>
              <w:jc w:val="center"/>
            </w:pPr>
            <w:r w:rsidRPr="001C3984">
              <w:rPr>
                <w:rFonts w:eastAsia="Times New Roman" w:cs="Arial"/>
                <w:b/>
                <w:bCs/>
                <w:color w:val="000000"/>
                <w:sz w:val="22"/>
                <w:lang w:eastAsia="en-GB"/>
              </w:rPr>
              <w:t>Total Number of Views</w:t>
            </w:r>
          </w:p>
        </w:tc>
      </w:tr>
      <w:tr w:rsidR="008205AC" w:rsidRPr="0061225A" w:rsidTr="00C03CCC">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Landing page</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755</w:t>
            </w:r>
          </w:p>
        </w:tc>
      </w:tr>
      <w:tr w:rsidR="008205AC" w:rsidRPr="0061225A" w:rsidTr="001423B4">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Support for parents &amp; carers - EHCP</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177</w:t>
            </w:r>
          </w:p>
        </w:tc>
      </w:tr>
      <w:tr w:rsidR="008205AC" w:rsidRPr="0061225A" w:rsidTr="001423B4">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Support for parents &amp; carers</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151</w:t>
            </w:r>
          </w:p>
        </w:tc>
      </w:tr>
      <w:tr w:rsidR="008205AC" w:rsidRPr="0061225A" w:rsidTr="001423B4">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Support Groups</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137</w:t>
            </w:r>
          </w:p>
        </w:tc>
      </w:tr>
      <w:tr w:rsidR="008205AC" w:rsidRPr="0061225A" w:rsidTr="001423B4">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Contact Us</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128</w:t>
            </w:r>
          </w:p>
        </w:tc>
      </w:tr>
      <w:tr w:rsidR="008205AC" w:rsidRPr="0061225A" w:rsidTr="001423B4">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What We Do</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119</w:t>
            </w:r>
          </w:p>
        </w:tc>
      </w:tr>
      <w:tr w:rsidR="008205AC" w:rsidRPr="0061225A" w:rsidTr="001423B4">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Support for parents &amp; carers - EHCNA</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119</w:t>
            </w:r>
          </w:p>
        </w:tc>
      </w:tr>
      <w:tr w:rsidR="008205AC" w:rsidRPr="0061225A" w:rsidTr="0061225A">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Support for children</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109</w:t>
            </w:r>
          </w:p>
        </w:tc>
      </w:tr>
      <w:tr w:rsidR="008205AC" w:rsidRPr="0061225A" w:rsidTr="001423B4">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 xml:space="preserve">Useful Information </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101</w:t>
            </w:r>
          </w:p>
        </w:tc>
      </w:tr>
      <w:tr w:rsidR="008205AC" w:rsidRPr="0061225A" w:rsidTr="00117E52">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8205AC" w:rsidRPr="001423B4" w:rsidRDefault="008205AC" w:rsidP="008205AC">
            <w:pPr>
              <w:rPr>
                <w:rFonts w:cs="Arial"/>
                <w:color w:val="000000"/>
                <w:sz w:val="22"/>
              </w:rPr>
            </w:pPr>
            <w:r w:rsidRPr="001423B4">
              <w:rPr>
                <w:rFonts w:cs="Arial"/>
                <w:color w:val="000000"/>
                <w:sz w:val="22"/>
              </w:rPr>
              <w:t>Useful Information - EHCP</w:t>
            </w:r>
          </w:p>
        </w:tc>
        <w:tc>
          <w:tcPr>
            <w:tcW w:w="2268" w:type="dxa"/>
            <w:tcBorders>
              <w:top w:val="single" w:sz="4" w:space="0" w:color="auto"/>
              <w:left w:val="nil"/>
              <w:bottom w:val="single" w:sz="4" w:space="0" w:color="auto"/>
              <w:right w:val="single" w:sz="4" w:space="0" w:color="auto"/>
            </w:tcBorders>
            <w:shd w:val="clear" w:color="auto" w:fill="auto"/>
            <w:vAlign w:val="bottom"/>
          </w:tcPr>
          <w:p w:rsidR="008205AC" w:rsidRPr="001423B4" w:rsidRDefault="008205AC" w:rsidP="008205AC">
            <w:pPr>
              <w:jc w:val="right"/>
              <w:rPr>
                <w:rFonts w:cs="Arial"/>
                <w:color w:val="000000"/>
                <w:sz w:val="22"/>
              </w:rPr>
            </w:pPr>
            <w:r w:rsidRPr="001423B4">
              <w:rPr>
                <w:rFonts w:cs="Arial"/>
                <w:color w:val="000000"/>
                <w:sz w:val="22"/>
              </w:rPr>
              <w:t>99</w:t>
            </w:r>
          </w:p>
        </w:tc>
      </w:tr>
    </w:tbl>
    <w:p w:rsidR="00D7198D" w:rsidRPr="00D7198D" w:rsidRDefault="00D7198D" w:rsidP="00D7198D"/>
    <w:p w:rsidR="00856085" w:rsidRDefault="00856085" w:rsidP="00856085">
      <w:pPr>
        <w:jc w:val="both"/>
        <w:rPr>
          <w:rFonts w:cs="Arial"/>
        </w:rPr>
      </w:pPr>
      <w:r>
        <w:rPr>
          <w:rFonts w:cs="Arial"/>
        </w:rPr>
        <w:t xml:space="preserve">Additional accessibility software, </w:t>
      </w:r>
      <w:r w:rsidR="0074419A">
        <w:rPr>
          <w:rFonts w:cs="Arial"/>
        </w:rPr>
        <w:t>Reach Deck</w:t>
      </w:r>
      <w:r>
        <w:rPr>
          <w:rFonts w:cs="Arial"/>
        </w:rPr>
        <w:t xml:space="preserve">, was added to the website in November </w:t>
      </w:r>
      <w:r w:rsidRPr="00BF23CE">
        <w:rPr>
          <w:rFonts w:cs="Arial"/>
        </w:rPr>
        <w:t>2020 wh</w:t>
      </w:r>
      <w:r>
        <w:rPr>
          <w:rFonts w:cs="Arial"/>
        </w:rPr>
        <w:t xml:space="preserve">ich includes a translation service to </w:t>
      </w:r>
      <w:r w:rsidRPr="009327F2">
        <w:rPr>
          <w:rFonts w:cs="Arial"/>
        </w:rPr>
        <w:t>help assist reach</w:t>
      </w:r>
      <w:r w:rsidR="00A628BB" w:rsidRPr="009327F2">
        <w:rPr>
          <w:rFonts w:cs="Arial"/>
        </w:rPr>
        <w:t>ing</w:t>
      </w:r>
      <w:r w:rsidRPr="009327F2">
        <w:rPr>
          <w:rFonts w:cs="Arial"/>
        </w:rPr>
        <w:t xml:space="preserve"> </w:t>
      </w:r>
      <w:r>
        <w:rPr>
          <w:rFonts w:cs="Arial"/>
        </w:rPr>
        <w:t xml:space="preserve">the wider community of Luton. </w:t>
      </w:r>
      <w:r w:rsidR="005C29FF">
        <w:rPr>
          <w:rFonts w:cs="Arial"/>
        </w:rPr>
        <w:t xml:space="preserve">Table </w:t>
      </w:r>
      <w:r w:rsidR="00297529">
        <w:rPr>
          <w:rFonts w:cs="Arial"/>
        </w:rPr>
        <w:t>11</w:t>
      </w:r>
      <w:r w:rsidR="005C29FF">
        <w:rPr>
          <w:rFonts w:cs="Arial"/>
        </w:rPr>
        <w:t xml:space="preserve"> provides a summary of the functions used by service users during quarter one.</w:t>
      </w:r>
    </w:p>
    <w:p w:rsidR="00754383" w:rsidRPr="00125586" w:rsidRDefault="00754383" w:rsidP="00FB629C">
      <w:pPr>
        <w:pStyle w:val="Heading1"/>
        <w:rPr>
          <w:sz w:val="22"/>
          <w:szCs w:val="22"/>
        </w:rPr>
      </w:pPr>
      <w:r w:rsidRPr="00125586">
        <w:rPr>
          <w:sz w:val="22"/>
          <w:szCs w:val="22"/>
        </w:rPr>
        <w:lastRenderedPageBreak/>
        <w:t xml:space="preserve">Table </w:t>
      </w:r>
      <w:r w:rsidR="00297529" w:rsidRPr="00125586">
        <w:rPr>
          <w:sz w:val="22"/>
          <w:szCs w:val="22"/>
        </w:rPr>
        <w:t>11</w:t>
      </w:r>
      <w:r w:rsidRPr="00125586">
        <w:rPr>
          <w:sz w:val="22"/>
          <w:szCs w:val="22"/>
        </w:rPr>
        <w:t xml:space="preserve">:0 Summary of the functions used on the accessibility software during </w:t>
      </w:r>
      <w:r w:rsidR="00EA7777" w:rsidRPr="00125586">
        <w:rPr>
          <w:sz w:val="22"/>
          <w:szCs w:val="22"/>
        </w:rPr>
        <w:t>202</w:t>
      </w:r>
      <w:r w:rsidR="002507C1" w:rsidRPr="00125586">
        <w:rPr>
          <w:sz w:val="22"/>
          <w:szCs w:val="22"/>
        </w:rPr>
        <w:t>3 Q</w:t>
      </w:r>
      <w:r w:rsidR="001C20F7">
        <w:rPr>
          <w:sz w:val="22"/>
          <w:szCs w:val="22"/>
        </w:rPr>
        <w:t>3</w:t>
      </w:r>
      <w:r w:rsidRPr="00125586">
        <w:rPr>
          <w:sz w:val="22"/>
          <w:szCs w:val="22"/>
        </w:rPr>
        <w:t>.</w:t>
      </w:r>
    </w:p>
    <w:tbl>
      <w:tblPr>
        <w:tblStyle w:val="TableGrid"/>
        <w:tblW w:w="6516" w:type="dxa"/>
        <w:tblLook w:val="04A0" w:firstRow="1" w:lastRow="0" w:firstColumn="1" w:lastColumn="0" w:noHBand="0" w:noVBand="1"/>
        <w:tblCaption w:val="Summary of the functions used on the accessibility software during 2022."/>
        <w:tblDescription w:val="A table summarising the use of the different accessibility functions available to service users for 2022."/>
      </w:tblPr>
      <w:tblGrid>
        <w:gridCol w:w="4248"/>
        <w:gridCol w:w="2268"/>
      </w:tblGrid>
      <w:tr w:rsidR="00631AEE" w:rsidTr="00631AEE">
        <w:trPr>
          <w:tblHeader/>
        </w:trPr>
        <w:tc>
          <w:tcPr>
            <w:tcW w:w="4248" w:type="dxa"/>
            <w:vAlign w:val="center"/>
          </w:tcPr>
          <w:p w:rsidR="00631AEE" w:rsidRDefault="00631AEE" w:rsidP="00631AEE">
            <w:r>
              <w:rPr>
                <w:rFonts w:eastAsia="Times New Roman" w:cs="Arial"/>
                <w:b/>
                <w:bCs/>
                <w:color w:val="000000"/>
                <w:sz w:val="22"/>
                <w:lang w:eastAsia="en-GB"/>
              </w:rPr>
              <w:t>Accessibility</w:t>
            </w:r>
            <w:r w:rsidRPr="0013463F">
              <w:rPr>
                <w:rFonts w:eastAsia="Times New Roman" w:cs="Arial"/>
                <w:b/>
                <w:bCs/>
                <w:color w:val="000000"/>
                <w:sz w:val="22"/>
                <w:lang w:eastAsia="en-GB"/>
              </w:rPr>
              <w:t xml:space="preserve"> Analytics </w:t>
            </w:r>
          </w:p>
        </w:tc>
        <w:tc>
          <w:tcPr>
            <w:tcW w:w="2268" w:type="dxa"/>
            <w:vAlign w:val="center"/>
          </w:tcPr>
          <w:p w:rsidR="00631AEE" w:rsidRDefault="00631AEE" w:rsidP="00631AEE">
            <w:r w:rsidRPr="0013463F">
              <w:rPr>
                <w:rFonts w:eastAsia="Times New Roman" w:cs="Arial"/>
                <w:b/>
                <w:bCs/>
                <w:color w:val="000000"/>
                <w:sz w:val="22"/>
                <w:lang w:eastAsia="en-GB"/>
              </w:rPr>
              <w:t>Total Numbers</w:t>
            </w:r>
          </w:p>
        </w:tc>
      </w:tr>
      <w:tr w:rsidR="0061225A" w:rsidTr="00C03CCC">
        <w:trPr>
          <w:tblHead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tcPr>
          <w:p w:rsidR="0061225A" w:rsidRPr="0061225A" w:rsidRDefault="0061225A" w:rsidP="0061225A">
            <w:pPr>
              <w:rPr>
                <w:rFonts w:cs="Arial"/>
                <w:color w:val="000000"/>
                <w:sz w:val="22"/>
              </w:rPr>
            </w:pPr>
            <w:r w:rsidRPr="0061225A">
              <w:rPr>
                <w:rFonts w:cs="Arial"/>
                <w:color w:val="000000"/>
                <w:sz w:val="22"/>
              </w:rPr>
              <w:t>Speech</w:t>
            </w:r>
          </w:p>
        </w:tc>
        <w:tc>
          <w:tcPr>
            <w:tcW w:w="2268" w:type="dxa"/>
            <w:tcBorders>
              <w:top w:val="single" w:sz="4" w:space="0" w:color="auto"/>
              <w:left w:val="nil"/>
              <w:bottom w:val="single" w:sz="4" w:space="0" w:color="auto"/>
              <w:right w:val="single" w:sz="4" w:space="0" w:color="auto"/>
            </w:tcBorders>
            <w:shd w:val="clear" w:color="auto" w:fill="auto"/>
            <w:vAlign w:val="bottom"/>
          </w:tcPr>
          <w:p w:rsidR="0061225A" w:rsidRPr="0061225A" w:rsidRDefault="0038474B" w:rsidP="0071253C">
            <w:pPr>
              <w:jc w:val="center"/>
              <w:rPr>
                <w:rFonts w:cs="Arial"/>
                <w:color w:val="000000"/>
                <w:sz w:val="22"/>
              </w:rPr>
            </w:pPr>
            <w:r>
              <w:rPr>
                <w:rFonts w:cs="Arial"/>
                <w:color w:val="000000"/>
                <w:sz w:val="22"/>
              </w:rPr>
              <w:t>3</w:t>
            </w:r>
          </w:p>
        </w:tc>
      </w:tr>
      <w:tr w:rsidR="0061225A" w:rsidTr="00C03CCC">
        <w:trPr>
          <w:tblHeader/>
        </w:trPr>
        <w:tc>
          <w:tcPr>
            <w:tcW w:w="4248" w:type="dxa"/>
            <w:tcBorders>
              <w:top w:val="nil"/>
              <w:left w:val="single" w:sz="4" w:space="0" w:color="auto"/>
              <w:bottom w:val="single" w:sz="4" w:space="0" w:color="auto"/>
              <w:right w:val="single" w:sz="4" w:space="0" w:color="auto"/>
            </w:tcBorders>
            <w:shd w:val="clear" w:color="auto" w:fill="auto"/>
            <w:vAlign w:val="bottom"/>
          </w:tcPr>
          <w:p w:rsidR="0061225A" w:rsidRPr="0061225A" w:rsidRDefault="0061225A" w:rsidP="0061225A">
            <w:pPr>
              <w:rPr>
                <w:rFonts w:cs="Arial"/>
                <w:color w:val="000000"/>
                <w:sz w:val="22"/>
              </w:rPr>
            </w:pPr>
            <w:r w:rsidRPr="0061225A">
              <w:rPr>
                <w:rFonts w:cs="Arial"/>
                <w:color w:val="000000"/>
                <w:sz w:val="22"/>
              </w:rPr>
              <w:t>Toolbar</w:t>
            </w:r>
          </w:p>
        </w:tc>
        <w:tc>
          <w:tcPr>
            <w:tcW w:w="2268" w:type="dxa"/>
            <w:tcBorders>
              <w:top w:val="nil"/>
              <w:left w:val="nil"/>
              <w:bottom w:val="single" w:sz="4" w:space="0" w:color="auto"/>
              <w:right w:val="single" w:sz="4" w:space="0" w:color="auto"/>
            </w:tcBorders>
            <w:shd w:val="clear" w:color="auto" w:fill="auto"/>
            <w:vAlign w:val="bottom"/>
          </w:tcPr>
          <w:p w:rsidR="0061225A" w:rsidRPr="0061225A" w:rsidRDefault="0038474B" w:rsidP="0071253C">
            <w:pPr>
              <w:jc w:val="center"/>
              <w:rPr>
                <w:rFonts w:cs="Arial"/>
                <w:color w:val="000000"/>
                <w:sz w:val="22"/>
              </w:rPr>
            </w:pPr>
            <w:r>
              <w:rPr>
                <w:rFonts w:cs="Arial"/>
                <w:color w:val="000000"/>
                <w:sz w:val="22"/>
              </w:rPr>
              <w:t>99</w:t>
            </w:r>
          </w:p>
        </w:tc>
      </w:tr>
      <w:tr w:rsidR="0061225A" w:rsidTr="00C03CCC">
        <w:trPr>
          <w:tblHeader/>
        </w:trPr>
        <w:tc>
          <w:tcPr>
            <w:tcW w:w="4248" w:type="dxa"/>
            <w:tcBorders>
              <w:top w:val="nil"/>
              <w:left w:val="single" w:sz="4" w:space="0" w:color="auto"/>
              <w:bottom w:val="single" w:sz="4" w:space="0" w:color="auto"/>
              <w:right w:val="single" w:sz="4" w:space="0" w:color="auto"/>
            </w:tcBorders>
            <w:shd w:val="clear" w:color="auto" w:fill="auto"/>
            <w:vAlign w:val="bottom"/>
          </w:tcPr>
          <w:p w:rsidR="0061225A" w:rsidRPr="0061225A" w:rsidRDefault="0061225A" w:rsidP="0061225A">
            <w:pPr>
              <w:rPr>
                <w:rFonts w:cs="Arial"/>
                <w:color w:val="000000"/>
                <w:sz w:val="22"/>
              </w:rPr>
            </w:pPr>
            <w:r w:rsidRPr="0061225A">
              <w:rPr>
                <w:rFonts w:cs="Arial"/>
                <w:color w:val="000000"/>
                <w:sz w:val="22"/>
              </w:rPr>
              <w:t>Translate</w:t>
            </w:r>
          </w:p>
        </w:tc>
        <w:tc>
          <w:tcPr>
            <w:tcW w:w="2268" w:type="dxa"/>
            <w:tcBorders>
              <w:top w:val="nil"/>
              <w:left w:val="nil"/>
              <w:bottom w:val="single" w:sz="4" w:space="0" w:color="auto"/>
              <w:right w:val="single" w:sz="4" w:space="0" w:color="auto"/>
            </w:tcBorders>
            <w:shd w:val="clear" w:color="auto" w:fill="auto"/>
            <w:vAlign w:val="bottom"/>
          </w:tcPr>
          <w:p w:rsidR="0061225A" w:rsidRPr="0061225A" w:rsidRDefault="0038474B" w:rsidP="0071253C">
            <w:pPr>
              <w:jc w:val="center"/>
              <w:rPr>
                <w:rFonts w:cs="Arial"/>
                <w:color w:val="000000"/>
                <w:sz w:val="22"/>
              </w:rPr>
            </w:pPr>
            <w:r>
              <w:rPr>
                <w:rFonts w:cs="Arial"/>
                <w:color w:val="000000"/>
                <w:sz w:val="22"/>
              </w:rPr>
              <w:t>23</w:t>
            </w:r>
          </w:p>
        </w:tc>
      </w:tr>
      <w:tr w:rsidR="0061225A" w:rsidTr="00C03CCC">
        <w:trPr>
          <w:tblHeader/>
        </w:trPr>
        <w:tc>
          <w:tcPr>
            <w:tcW w:w="4248" w:type="dxa"/>
            <w:tcBorders>
              <w:top w:val="nil"/>
              <w:left w:val="single" w:sz="4" w:space="0" w:color="auto"/>
              <w:bottom w:val="single" w:sz="4" w:space="0" w:color="auto"/>
              <w:right w:val="single" w:sz="4" w:space="0" w:color="auto"/>
            </w:tcBorders>
            <w:shd w:val="clear" w:color="auto" w:fill="auto"/>
            <w:vAlign w:val="bottom"/>
          </w:tcPr>
          <w:p w:rsidR="0061225A" w:rsidRPr="0061225A" w:rsidRDefault="0071253C" w:rsidP="0061225A">
            <w:pPr>
              <w:rPr>
                <w:rFonts w:cs="Arial"/>
                <w:color w:val="000000"/>
                <w:sz w:val="22"/>
              </w:rPr>
            </w:pPr>
            <w:r>
              <w:rPr>
                <w:rFonts w:cs="Arial"/>
                <w:color w:val="000000"/>
                <w:sz w:val="22"/>
              </w:rPr>
              <w:t>Picture Dictate</w:t>
            </w:r>
          </w:p>
        </w:tc>
        <w:tc>
          <w:tcPr>
            <w:tcW w:w="2268" w:type="dxa"/>
            <w:tcBorders>
              <w:top w:val="nil"/>
              <w:left w:val="nil"/>
              <w:bottom w:val="single" w:sz="4" w:space="0" w:color="auto"/>
              <w:right w:val="single" w:sz="4" w:space="0" w:color="auto"/>
            </w:tcBorders>
            <w:shd w:val="clear" w:color="auto" w:fill="auto"/>
            <w:vAlign w:val="bottom"/>
          </w:tcPr>
          <w:p w:rsidR="0061225A" w:rsidRPr="0061225A" w:rsidRDefault="0038474B" w:rsidP="0071253C">
            <w:pPr>
              <w:jc w:val="center"/>
              <w:rPr>
                <w:rFonts w:cs="Arial"/>
                <w:color w:val="000000"/>
                <w:sz w:val="22"/>
              </w:rPr>
            </w:pPr>
            <w:r>
              <w:rPr>
                <w:rFonts w:cs="Arial"/>
                <w:color w:val="000000"/>
                <w:sz w:val="22"/>
              </w:rPr>
              <w:t>1</w:t>
            </w:r>
          </w:p>
        </w:tc>
      </w:tr>
      <w:tr w:rsidR="00631AEE" w:rsidTr="00631AEE">
        <w:trPr>
          <w:tblHeader/>
        </w:trPr>
        <w:tc>
          <w:tcPr>
            <w:tcW w:w="4248" w:type="dxa"/>
            <w:vAlign w:val="bottom"/>
          </w:tcPr>
          <w:p w:rsidR="00631AEE" w:rsidRPr="0061225A" w:rsidRDefault="00631AEE" w:rsidP="00631AEE">
            <w:pPr>
              <w:rPr>
                <w:rFonts w:cs="Arial"/>
              </w:rPr>
            </w:pPr>
            <w:r w:rsidRPr="0061225A">
              <w:rPr>
                <w:rFonts w:eastAsia="Times New Roman" w:cs="Arial"/>
                <w:b/>
                <w:bCs/>
                <w:color w:val="000000"/>
                <w:sz w:val="22"/>
                <w:lang w:eastAsia="en-GB"/>
              </w:rPr>
              <w:t>TOTAL</w:t>
            </w:r>
          </w:p>
        </w:tc>
        <w:tc>
          <w:tcPr>
            <w:tcW w:w="2268" w:type="dxa"/>
            <w:vAlign w:val="bottom"/>
          </w:tcPr>
          <w:p w:rsidR="00631AEE" w:rsidRPr="0038474B" w:rsidRDefault="0038474B" w:rsidP="00631AEE">
            <w:pPr>
              <w:jc w:val="center"/>
              <w:rPr>
                <w:rFonts w:cs="Arial"/>
                <w:b/>
              </w:rPr>
            </w:pPr>
            <w:r w:rsidRPr="0038474B">
              <w:rPr>
                <w:rFonts w:cs="Arial"/>
                <w:b/>
                <w:sz w:val="22"/>
              </w:rPr>
              <w:t>126</w:t>
            </w:r>
          </w:p>
        </w:tc>
      </w:tr>
    </w:tbl>
    <w:p w:rsidR="00D7198D" w:rsidRPr="00D7198D" w:rsidRDefault="00D7198D" w:rsidP="00D7198D"/>
    <w:p w:rsidR="00D7198D" w:rsidRPr="00D7198D" w:rsidRDefault="00DA4610" w:rsidP="00D7198D">
      <w:r>
        <w:t xml:space="preserve">During </w:t>
      </w:r>
      <w:r w:rsidR="0074419A">
        <w:t>202</w:t>
      </w:r>
      <w:r w:rsidR="00D662A2">
        <w:t>2</w:t>
      </w:r>
      <w:r>
        <w:t xml:space="preserve"> there were similar trends reported in relation to the functions used on the </w:t>
      </w:r>
      <w:r w:rsidR="0074419A">
        <w:t>Reach Deck</w:t>
      </w:r>
      <w:r>
        <w:t xml:space="preserve"> software with the use of the translate function being the most used function. </w:t>
      </w:r>
      <w:r w:rsidR="00A40BA5">
        <w:t>Figur</w:t>
      </w:r>
      <w:r w:rsidR="00856085">
        <w:t xml:space="preserve">e </w:t>
      </w:r>
      <w:r w:rsidR="00A0675E">
        <w:t>8</w:t>
      </w:r>
      <w:r w:rsidR="00A40BA5">
        <w:t>:0</w:t>
      </w:r>
      <w:r>
        <w:t xml:space="preserve"> provides a further breakdown of the</w:t>
      </w:r>
      <w:r w:rsidR="00A40BA5">
        <w:t xml:space="preserve"> translation function on the website and the lang</w:t>
      </w:r>
      <w:r w:rsidR="00856085">
        <w:t xml:space="preserve">uages accessed by service users during </w:t>
      </w:r>
      <w:r w:rsidR="005C29FF">
        <w:t xml:space="preserve">quarter </w:t>
      </w:r>
      <w:r w:rsidR="000D094F">
        <w:t>two</w:t>
      </w:r>
      <w:r w:rsidR="00856085">
        <w:t>.</w:t>
      </w:r>
    </w:p>
    <w:p w:rsidR="00856085" w:rsidRDefault="00856085" w:rsidP="00125586">
      <w:pPr>
        <w:pStyle w:val="Heading1"/>
        <w:rPr>
          <w:sz w:val="22"/>
          <w:szCs w:val="22"/>
        </w:rPr>
      </w:pPr>
      <w:r w:rsidRPr="00125586">
        <w:rPr>
          <w:sz w:val="22"/>
          <w:szCs w:val="22"/>
        </w:rPr>
        <w:t xml:space="preserve">Figure </w:t>
      </w:r>
      <w:r w:rsidR="00866393" w:rsidRPr="00125586">
        <w:rPr>
          <w:sz w:val="22"/>
          <w:szCs w:val="22"/>
        </w:rPr>
        <w:t>8</w:t>
      </w:r>
      <w:r w:rsidRPr="00125586">
        <w:rPr>
          <w:sz w:val="22"/>
          <w:szCs w:val="22"/>
        </w:rPr>
        <w:t xml:space="preserve">:0: Languages used on the translation function on the SENDIAS service website during </w:t>
      </w:r>
      <w:r w:rsidR="00EA7777" w:rsidRPr="00125586">
        <w:rPr>
          <w:sz w:val="22"/>
          <w:szCs w:val="22"/>
        </w:rPr>
        <w:t>202</w:t>
      </w:r>
      <w:r w:rsidR="002507C1" w:rsidRPr="00125586">
        <w:rPr>
          <w:sz w:val="22"/>
          <w:szCs w:val="22"/>
        </w:rPr>
        <w:t>3 Q</w:t>
      </w:r>
      <w:r w:rsidR="001C20F7">
        <w:rPr>
          <w:sz w:val="22"/>
          <w:szCs w:val="22"/>
        </w:rPr>
        <w:t>3</w:t>
      </w:r>
      <w:r w:rsidRPr="00125586">
        <w:rPr>
          <w:sz w:val="22"/>
          <w:szCs w:val="22"/>
        </w:rPr>
        <w:t>.</w:t>
      </w:r>
    </w:p>
    <w:p w:rsidR="0038474B" w:rsidRDefault="0038474B" w:rsidP="0038474B"/>
    <w:p w:rsidR="0038474B" w:rsidRDefault="0038474B" w:rsidP="0038474B">
      <w:r>
        <w:rPr>
          <w:noProof/>
          <w:lang w:eastAsia="en-GB"/>
        </w:rPr>
        <w:lastRenderedPageBreak/>
        <w:drawing>
          <wp:inline distT="0" distB="0" distL="0" distR="0" wp14:anchorId="5DB5546E" wp14:editId="0C6C027E">
            <wp:extent cx="4436993" cy="2703444"/>
            <wp:effectExtent l="0" t="0" r="1905" b="1905"/>
            <wp:docPr id="1" name="Chart 1" descr="A pie chart summarising the languages used on website tranlation software for the quarter." title="A pie chart summarising the use of the tranlation function on the services websit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5372" w:rsidRPr="00037825" w:rsidRDefault="00EA7777" w:rsidP="00AD5372">
      <w:pPr>
        <w:pStyle w:val="Heading2"/>
        <w:rPr>
          <w:sz w:val="28"/>
        </w:rPr>
      </w:pPr>
      <w:r w:rsidRPr="00037825">
        <w:rPr>
          <w:sz w:val="28"/>
        </w:rPr>
        <w:t>202</w:t>
      </w:r>
      <w:r w:rsidR="00037825">
        <w:rPr>
          <w:sz w:val="28"/>
        </w:rPr>
        <w:t>3</w:t>
      </w:r>
      <w:r w:rsidR="00AD5372" w:rsidRPr="00037825">
        <w:rPr>
          <w:sz w:val="28"/>
        </w:rPr>
        <w:t>: Social Media.</w:t>
      </w:r>
    </w:p>
    <w:p w:rsidR="00A73BBD" w:rsidRDefault="00163124" w:rsidP="00163124">
      <w:pPr>
        <w:jc w:val="both"/>
      </w:pPr>
      <w:r>
        <w:t xml:space="preserve">Our service launched a Facebook page back in February 2021 with the initial focus of signposting to local services, support groups and local events for children, young people and families. In addition, local and national news stories will be shared. </w:t>
      </w:r>
    </w:p>
    <w:p w:rsidR="0035685B" w:rsidRPr="008178B3" w:rsidRDefault="00163124" w:rsidP="00163124">
      <w:pPr>
        <w:jc w:val="both"/>
      </w:pPr>
      <w:r>
        <w:t xml:space="preserve">The initial launch of our social media was achieved through word of mouth promotion. </w:t>
      </w:r>
      <w:r w:rsidR="0035685B" w:rsidRPr="008178B3">
        <w:t xml:space="preserve">As our social media presence </w:t>
      </w:r>
      <w:r w:rsidR="00CA0382" w:rsidRPr="008178B3">
        <w:t xml:space="preserve">was </w:t>
      </w:r>
      <w:r w:rsidR="0035685B" w:rsidRPr="008178B3">
        <w:t xml:space="preserve">new to the service </w:t>
      </w:r>
      <w:r w:rsidR="00CA0382" w:rsidRPr="008178B3">
        <w:t xml:space="preserve">in 2021, </w:t>
      </w:r>
      <w:r w:rsidR="0035685B" w:rsidRPr="008178B3">
        <w:t xml:space="preserve">we intend to continue to </w:t>
      </w:r>
      <w:r w:rsidR="0035685B" w:rsidRPr="008178B3">
        <w:lastRenderedPageBreak/>
        <w:t xml:space="preserve">review the data and evaluate our service </w:t>
      </w:r>
      <w:r w:rsidR="00A73BBD" w:rsidRPr="008178B3">
        <w:t>user’s</w:t>
      </w:r>
      <w:r w:rsidR="0035685B" w:rsidRPr="008178B3">
        <w:t xml:space="preserve"> interaction with our social media accounts</w:t>
      </w:r>
      <w:r w:rsidR="00A1763D" w:rsidRPr="008178B3">
        <w:t xml:space="preserve">. This will </w:t>
      </w:r>
      <w:r w:rsidR="0035685B" w:rsidRPr="008178B3">
        <w:t>help inform how we ca</w:t>
      </w:r>
      <w:r w:rsidR="00A628BB">
        <w:t>n evolve our use of social media,</w:t>
      </w:r>
      <w:r w:rsidR="0035685B" w:rsidRPr="008178B3">
        <w:t xml:space="preserve"> for the benefit of our service users’ needs and interests.</w:t>
      </w:r>
      <w:r w:rsidR="00666390">
        <w:t xml:space="preserve"> Figure 7 below provides a summary of the top five posts and their total reach for quarter </w:t>
      </w:r>
      <w:r w:rsidR="000D094F">
        <w:t>two</w:t>
      </w:r>
      <w:r w:rsidR="00666390">
        <w:t>.</w:t>
      </w:r>
    </w:p>
    <w:p w:rsidR="00AD5372" w:rsidRDefault="00447931" w:rsidP="005B652B">
      <w:pPr>
        <w:pStyle w:val="Heading1"/>
        <w:rPr>
          <w:sz w:val="22"/>
          <w:szCs w:val="22"/>
        </w:rPr>
      </w:pPr>
      <w:r w:rsidRPr="005B652B">
        <w:rPr>
          <w:sz w:val="22"/>
          <w:szCs w:val="22"/>
        </w:rPr>
        <w:t xml:space="preserve">Figure </w:t>
      </w:r>
      <w:r w:rsidR="00297529" w:rsidRPr="005B652B">
        <w:rPr>
          <w:sz w:val="22"/>
          <w:szCs w:val="22"/>
        </w:rPr>
        <w:t>7</w:t>
      </w:r>
      <w:r w:rsidRPr="005B652B">
        <w:rPr>
          <w:sz w:val="22"/>
          <w:szCs w:val="22"/>
        </w:rPr>
        <w:t xml:space="preserve">:0: SENDIAS service Facebook </w:t>
      </w:r>
      <w:r w:rsidR="00EA7777" w:rsidRPr="005B652B">
        <w:rPr>
          <w:sz w:val="22"/>
          <w:szCs w:val="22"/>
        </w:rPr>
        <w:t>202</w:t>
      </w:r>
      <w:r w:rsidR="000D094F">
        <w:rPr>
          <w:sz w:val="22"/>
          <w:szCs w:val="22"/>
        </w:rPr>
        <w:t>3</w:t>
      </w:r>
      <w:r w:rsidR="00EA7777" w:rsidRPr="005B652B">
        <w:rPr>
          <w:sz w:val="22"/>
          <w:szCs w:val="22"/>
        </w:rPr>
        <w:t xml:space="preserve"> - </w:t>
      </w:r>
      <w:r w:rsidRPr="005B652B">
        <w:rPr>
          <w:sz w:val="22"/>
          <w:szCs w:val="22"/>
        </w:rPr>
        <w:t>Top 5 Posts.</w:t>
      </w:r>
    </w:p>
    <w:p w:rsidR="001423B4" w:rsidRDefault="001423B4" w:rsidP="001423B4"/>
    <w:p w:rsidR="001423B4" w:rsidRPr="001423B4" w:rsidRDefault="001423B4" w:rsidP="001423B4">
      <w:r>
        <w:rPr>
          <w:noProof/>
          <w:lang w:eastAsia="en-GB"/>
        </w:rPr>
        <w:drawing>
          <wp:inline distT="0" distB="0" distL="0" distR="0" wp14:anchorId="24A2E347">
            <wp:extent cx="4407535" cy="2700655"/>
            <wp:effectExtent l="0" t="0" r="0" b="4445"/>
            <wp:docPr id="14" name="Picture 14" descr="A bar chart that summarises the top five posts for quarter three their total reach." title="SENDIAS service Facebook top five posts and their total reach for quarter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7535" cy="2700655"/>
                    </a:xfrm>
                    <a:prstGeom prst="rect">
                      <a:avLst/>
                    </a:prstGeom>
                    <a:noFill/>
                  </pic:spPr>
                </pic:pic>
              </a:graphicData>
            </a:graphic>
          </wp:inline>
        </w:drawing>
      </w:r>
    </w:p>
    <w:p w:rsidR="004E5D8A" w:rsidRPr="004E5D8A" w:rsidRDefault="004E5D8A" w:rsidP="004E5D8A">
      <w:pPr>
        <w:rPr>
          <w:lang w:val="en-US"/>
        </w:rPr>
      </w:pPr>
    </w:p>
    <w:p w:rsidR="00193322" w:rsidRDefault="00193322" w:rsidP="00371DD0">
      <w:pPr>
        <w:jc w:val="center"/>
        <w:rPr>
          <w:noProof/>
          <w:lang w:eastAsia="en-GB"/>
        </w:rPr>
      </w:pPr>
    </w:p>
    <w:p w:rsidR="00666390" w:rsidRPr="008178B3" w:rsidRDefault="00666390" w:rsidP="00666390">
      <w:pPr>
        <w:jc w:val="both"/>
        <w:rPr>
          <w:rFonts w:ascii="Calibri" w:eastAsia="Times New Roman" w:hAnsi="Calibri" w:cs="Calibri"/>
          <w:sz w:val="22"/>
          <w:lang w:eastAsia="en-GB"/>
        </w:rPr>
      </w:pPr>
      <w:r w:rsidRPr="008178B3">
        <w:t xml:space="preserve">The total reach of our Facebook </w:t>
      </w:r>
      <w:r>
        <w:t xml:space="preserve">account for each month of quarter </w:t>
      </w:r>
      <w:r w:rsidR="000D094F">
        <w:t>t</w:t>
      </w:r>
      <w:r w:rsidR="00E8595C">
        <w:t>hree</w:t>
      </w:r>
      <w:r>
        <w:t xml:space="preserve"> is summarised in </w:t>
      </w:r>
      <w:r w:rsidRPr="008178B3">
        <w:t xml:space="preserve">figure </w:t>
      </w:r>
      <w:r>
        <w:t>8</w:t>
      </w:r>
      <w:r w:rsidRPr="008178B3">
        <w:t>.</w:t>
      </w:r>
      <w:r w:rsidRPr="008178B3">
        <w:rPr>
          <w:rFonts w:ascii="Calibri" w:eastAsia="Times New Roman" w:hAnsi="Calibri" w:cs="Calibri"/>
          <w:sz w:val="22"/>
          <w:lang w:eastAsia="en-GB"/>
        </w:rPr>
        <w:t xml:space="preserve"> </w:t>
      </w:r>
    </w:p>
    <w:p w:rsidR="00AD5372" w:rsidRDefault="009358BC" w:rsidP="005B652B">
      <w:pPr>
        <w:pStyle w:val="Heading1"/>
        <w:rPr>
          <w:sz w:val="22"/>
          <w:szCs w:val="22"/>
        </w:rPr>
      </w:pPr>
      <w:r w:rsidRPr="005B652B">
        <w:rPr>
          <w:sz w:val="22"/>
          <w:szCs w:val="22"/>
        </w:rPr>
        <w:t xml:space="preserve">Figure </w:t>
      </w:r>
      <w:r w:rsidR="00297529" w:rsidRPr="005B652B">
        <w:rPr>
          <w:sz w:val="22"/>
          <w:szCs w:val="22"/>
        </w:rPr>
        <w:t>8</w:t>
      </w:r>
      <w:r w:rsidRPr="005B652B">
        <w:rPr>
          <w:sz w:val="22"/>
          <w:szCs w:val="22"/>
        </w:rPr>
        <w:t xml:space="preserve">:0: SENDIAS service </w:t>
      </w:r>
      <w:r w:rsidR="00EA7777" w:rsidRPr="005B652B">
        <w:rPr>
          <w:sz w:val="22"/>
          <w:szCs w:val="22"/>
        </w:rPr>
        <w:t>202</w:t>
      </w:r>
      <w:r w:rsidR="0061225A" w:rsidRPr="005B652B">
        <w:rPr>
          <w:sz w:val="22"/>
          <w:szCs w:val="22"/>
        </w:rPr>
        <w:t>3 Q</w:t>
      </w:r>
      <w:r w:rsidR="001C20F7">
        <w:rPr>
          <w:sz w:val="22"/>
          <w:szCs w:val="22"/>
        </w:rPr>
        <w:t>3</w:t>
      </w:r>
      <w:r w:rsidR="00EA7777" w:rsidRPr="005B652B">
        <w:rPr>
          <w:sz w:val="22"/>
          <w:szCs w:val="22"/>
        </w:rPr>
        <w:t xml:space="preserve"> - </w:t>
      </w:r>
      <w:r w:rsidR="00EF1368" w:rsidRPr="005B652B">
        <w:rPr>
          <w:sz w:val="22"/>
          <w:szCs w:val="22"/>
        </w:rPr>
        <w:t>Facebook total reach.</w:t>
      </w:r>
    </w:p>
    <w:p w:rsidR="00E8595C" w:rsidRDefault="00E8595C" w:rsidP="00E8595C"/>
    <w:p w:rsidR="00E8595C" w:rsidRPr="00E8595C" w:rsidRDefault="00E8595C" w:rsidP="00E8595C">
      <w:r>
        <w:rPr>
          <w:noProof/>
          <w:lang w:eastAsia="en-GB"/>
        </w:rPr>
        <w:drawing>
          <wp:inline distT="0" distB="0" distL="0" distR="0" wp14:anchorId="6CD0D89E" wp14:editId="7F074797">
            <wp:extent cx="4313583" cy="2133600"/>
            <wp:effectExtent l="0" t="0" r="10795" b="0"/>
            <wp:docPr id="18" name="Chart 18" descr="A bar chart that summaries the total reach of the service's facebook for each month of  quarter three." title="SENDIAS service facebook total reach for each month of quarter thre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6390" w:rsidRDefault="00666390" w:rsidP="00666390">
      <w:pPr>
        <w:jc w:val="both"/>
      </w:pPr>
      <w:r>
        <w:t xml:space="preserve">The average total reach of our Facebook account from 2021 to 2023 quarter </w:t>
      </w:r>
      <w:r w:rsidR="000D094F">
        <w:t>t</w:t>
      </w:r>
      <w:r w:rsidR="001C20F7">
        <w:t>hree</w:t>
      </w:r>
      <w:r>
        <w:t xml:space="preserve"> is summarised in figure 9.</w:t>
      </w:r>
    </w:p>
    <w:p w:rsidR="0061225A" w:rsidRDefault="00297529" w:rsidP="005B652B">
      <w:pPr>
        <w:pStyle w:val="Heading1"/>
        <w:rPr>
          <w:sz w:val="22"/>
          <w:szCs w:val="22"/>
        </w:rPr>
      </w:pPr>
      <w:r w:rsidRPr="005B652B">
        <w:rPr>
          <w:sz w:val="22"/>
          <w:szCs w:val="22"/>
        </w:rPr>
        <w:lastRenderedPageBreak/>
        <w:t>Figure 9.0:</w:t>
      </w:r>
      <w:r w:rsidR="00666390" w:rsidRPr="005B652B">
        <w:rPr>
          <w:sz w:val="22"/>
          <w:szCs w:val="22"/>
        </w:rPr>
        <w:t xml:space="preserve"> SENDIAS service 2023 Q</w:t>
      </w:r>
      <w:r w:rsidR="000D094F">
        <w:rPr>
          <w:sz w:val="22"/>
          <w:szCs w:val="22"/>
        </w:rPr>
        <w:t>2</w:t>
      </w:r>
      <w:r w:rsidR="00666390" w:rsidRPr="005B652B">
        <w:rPr>
          <w:sz w:val="22"/>
          <w:szCs w:val="22"/>
        </w:rPr>
        <w:t>-Facebook average usage per month 2021 to 2023 Q</w:t>
      </w:r>
      <w:r w:rsidR="001C20F7">
        <w:rPr>
          <w:sz w:val="22"/>
          <w:szCs w:val="22"/>
        </w:rPr>
        <w:t>3</w:t>
      </w:r>
      <w:r w:rsidR="00EF1368" w:rsidRPr="005B652B">
        <w:rPr>
          <w:sz w:val="22"/>
          <w:szCs w:val="22"/>
        </w:rPr>
        <w:t>.</w:t>
      </w:r>
    </w:p>
    <w:p w:rsidR="00A27665" w:rsidRPr="00A27665" w:rsidRDefault="00A27665" w:rsidP="00A27665">
      <w:r>
        <w:rPr>
          <w:noProof/>
          <w:lang w:eastAsia="en-GB"/>
        </w:rPr>
        <w:drawing>
          <wp:inline distT="0" distB="0" distL="0" distR="0" wp14:anchorId="57F679D5">
            <wp:extent cx="4676140" cy="2627630"/>
            <wp:effectExtent l="0" t="0" r="0" b="1270"/>
            <wp:docPr id="25" name="Picture 25" descr="A bar chart that summarises the average use of facebook per month from 2021 to 2023 quarter three." title="SENDIAS service facebook account average use per month from 2021 to 2023 quarter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6140" cy="2627630"/>
                    </a:xfrm>
                    <a:prstGeom prst="rect">
                      <a:avLst/>
                    </a:prstGeom>
                    <a:noFill/>
                  </pic:spPr>
                </pic:pic>
              </a:graphicData>
            </a:graphic>
          </wp:inline>
        </w:drawing>
      </w:r>
    </w:p>
    <w:p w:rsidR="00666390" w:rsidRDefault="00666390" w:rsidP="00666390">
      <w:pPr>
        <w:jc w:val="both"/>
      </w:pPr>
      <w:r>
        <w:t xml:space="preserve">SENDIAS services Instagram account total reach for quarter </w:t>
      </w:r>
      <w:r w:rsidR="000D094F">
        <w:t>two</w:t>
      </w:r>
      <w:r>
        <w:t xml:space="preserve"> is summarised in figure 10.</w:t>
      </w:r>
    </w:p>
    <w:p w:rsidR="00674C9A" w:rsidRDefault="00674C9A" w:rsidP="005B652B">
      <w:pPr>
        <w:pStyle w:val="Heading1"/>
        <w:rPr>
          <w:sz w:val="22"/>
          <w:szCs w:val="22"/>
        </w:rPr>
      </w:pPr>
      <w:r w:rsidRPr="005B652B">
        <w:rPr>
          <w:sz w:val="22"/>
          <w:szCs w:val="22"/>
        </w:rPr>
        <w:t xml:space="preserve">Figure </w:t>
      </w:r>
      <w:r w:rsidR="00297529" w:rsidRPr="005B652B">
        <w:rPr>
          <w:sz w:val="22"/>
          <w:szCs w:val="22"/>
        </w:rPr>
        <w:t>10</w:t>
      </w:r>
      <w:r w:rsidRPr="005B652B">
        <w:rPr>
          <w:sz w:val="22"/>
          <w:szCs w:val="22"/>
        </w:rPr>
        <w:t>:0: SENDIAS service 202</w:t>
      </w:r>
      <w:r w:rsidR="00666390" w:rsidRPr="005B652B">
        <w:rPr>
          <w:sz w:val="22"/>
          <w:szCs w:val="22"/>
        </w:rPr>
        <w:t>3 Q</w:t>
      </w:r>
      <w:r w:rsidR="001C20F7">
        <w:rPr>
          <w:sz w:val="22"/>
          <w:szCs w:val="22"/>
        </w:rPr>
        <w:t>3</w:t>
      </w:r>
      <w:r w:rsidRPr="005B652B">
        <w:rPr>
          <w:sz w:val="22"/>
          <w:szCs w:val="22"/>
        </w:rPr>
        <w:t xml:space="preserve"> - Instagram total reach</w:t>
      </w:r>
      <w:r w:rsidR="00EF1368" w:rsidRPr="005B652B">
        <w:rPr>
          <w:sz w:val="22"/>
          <w:szCs w:val="22"/>
        </w:rPr>
        <w:t>.</w:t>
      </w:r>
      <w:r w:rsidRPr="005B652B">
        <w:rPr>
          <w:sz w:val="22"/>
          <w:szCs w:val="22"/>
        </w:rPr>
        <w:t xml:space="preserve"> </w:t>
      </w:r>
    </w:p>
    <w:p w:rsidR="00E8595C" w:rsidRPr="00E8595C" w:rsidRDefault="00E8595C" w:rsidP="00E8595C">
      <w:r>
        <w:rPr>
          <w:noProof/>
          <w:lang w:eastAsia="en-GB"/>
        </w:rPr>
        <w:drawing>
          <wp:inline distT="0" distB="0" distL="0" distR="0" wp14:anchorId="2AC01AC9">
            <wp:extent cx="3750365" cy="2297983"/>
            <wp:effectExtent l="0" t="0" r="2540" b="7620"/>
            <wp:docPr id="19" name="Picture 19" descr="A bar chart summarising the total teach of Instagram for each month of quarter three." title="SENDIAS service Instagram usage for quarter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4611" cy="2312840"/>
                    </a:xfrm>
                    <a:prstGeom prst="rect">
                      <a:avLst/>
                    </a:prstGeom>
                    <a:noFill/>
                  </pic:spPr>
                </pic:pic>
              </a:graphicData>
            </a:graphic>
          </wp:inline>
        </w:drawing>
      </w:r>
    </w:p>
    <w:p w:rsidR="004F55F5" w:rsidRPr="004F55F5" w:rsidRDefault="004F55F5" w:rsidP="004F55F5"/>
    <w:p w:rsidR="00666390" w:rsidRPr="00666390" w:rsidRDefault="00666390" w:rsidP="001C3984">
      <w:pPr>
        <w:jc w:val="both"/>
        <w:rPr>
          <w:sz w:val="22"/>
        </w:rPr>
      </w:pPr>
      <w:r>
        <w:rPr>
          <w:sz w:val="22"/>
        </w:rPr>
        <w:t xml:space="preserve">The average use per month of the SENDIAS services Instagram account since launch in 2021 to quarter </w:t>
      </w:r>
      <w:r w:rsidR="0043497B">
        <w:rPr>
          <w:sz w:val="22"/>
        </w:rPr>
        <w:t>two</w:t>
      </w:r>
      <w:r>
        <w:rPr>
          <w:sz w:val="22"/>
        </w:rPr>
        <w:t xml:space="preserve"> 2023 is summarised in figure 11.</w:t>
      </w:r>
    </w:p>
    <w:p w:rsidR="00297529" w:rsidRDefault="00297529" w:rsidP="001C3984">
      <w:pPr>
        <w:jc w:val="both"/>
        <w:rPr>
          <w:rFonts w:eastAsiaTheme="majorEastAsia" w:cstheme="majorBidi"/>
          <w:color w:val="5F2167"/>
          <w:sz w:val="22"/>
        </w:rPr>
      </w:pPr>
      <w:r w:rsidRPr="005B652B">
        <w:rPr>
          <w:rFonts w:eastAsiaTheme="majorEastAsia" w:cstheme="majorBidi"/>
          <w:color w:val="5F2167"/>
          <w:sz w:val="22"/>
        </w:rPr>
        <w:t>Figure 11</w:t>
      </w:r>
      <w:r w:rsidR="00666390" w:rsidRPr="005B652B">
        <w:rPr>
          <w:rFonts w:eastAsiaTheme="majorEastAsia" w:cstheme="majorBidi"/>
          <w:color w:val="5F2167"/>
          <w:sz w:val="22"/>
        </w:rPr>
        <w:t>:</w:t>
      </w:r>
      <w:r w:rsidR="00FC09AD" w:rsidRPr="005B652B">
        <w:rPr>
          <w:rFonts w:eastAsiaTheme="majorEastAsia" w:cstheme="majorBidi"/>
          <w:color w:val="5F2167"/>
          <w:sz w:val="22"/>
        </w:rPr>
        <w:t xml:space="preserve"> SENDIAS service’s Instagram t</w:t>
      </w:r>
      <w:r w:rsidR="00EF1368" w:rsidRPr="005B652B">
        <w:rPr>
          <w:rFonts w:eastAsiaTheme="majorEastAsia" w:cstheme="majorBidi"/>
          <w:color w:val="5F2167"/>
          <w:sz w:val="22"/>
        </w:rPr>
        <w:t>otal reach from 2021 to 2023 Q</w:t>
      </w:r>
      <w:r w:rsidR="001C20F7">
        <w:rPr>
          <w:rFonts w:eastAsiaTheme="majorEastAsia" w:cstheme="majorBidi"/>
          <w:color w:val="5F2167"/>
          <w:sz w:val="22"/>
        </w:rPr>
        <w:t>3</w:t>
      </w:r>
      <w:r w:rsidR="00EF1368" w:rsidRPr="005B652B">
        <w:rPr>
          <w:rFonts w:eastAsiaTheme="majorEastAsia" w:cstheme="majorBidi"/>
          <w:color w:val="5F2167"/>
          <w:sz w:val="22"/>
        </w:rPr>
        <w:t>.</w:t>
      </w:r>
    </w:p>
    <w:p w:rsidR="00A27665" w:rsidRDefault="00A27665" w:rsidP="001C3984">
      <w:pPr>
        <w:jc w:val="both"/>
        <w:rPr>
          <w:rFonts w:eastAsiaTheme="majorEastAsia" w:cstheme="majorBidi"/>
          <w:color w:val="5F2167"/>
          <w:sz w:val="22"/>
        </w:rPr>
      </w:pPr>
      <w:r>
        <w:rPr>
          <w:rFonts w:eastAsiaTheme="majorEastAsia" w:cstheme="majorBidi"/>
          <w:noProof/>
          <w:color w:val="5F2167"/>
          <w:sz w:val="22"/>
          <w:lang w:eastAsia="en-GB"/>
        </w:rPr>
        <w:drawing>
          <wp:inline distT="0" distB="0" distL="0" distR="0" wp14:anchorId="00B62BFD">
            <wp:extent cx="4676140" cy="2621280"/>
            <wp:effectExtent l="0" t="0" r="0" b="7620"/>
            <wp:docPr id="26" name="Picture 26" descr="A bar chart that summarises the average use of Instagram from 2021 to 2023 quarter three" title="SENDIAS service Instagram average usage from 2021 to 2023 quarter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6140" cy="2621280"/>
                    </a:xfrm>
                    <a:prstGeom prst="rect">
                      <a:avLst/>
                    </a:prstGeom>
                    <a:noFill/>
                  </pic:spPr>
                </pic:pic>
              </a:graphicData>
            </a:graphic>
          </wp:inline>
        </w:drawing>
      </w:r>
    </w:p>
    <w:p w:rsidR="004F55F5" w:rsidRPr="005B652B" w:rsidRDefault="004F55F5" w:rsidP="001C3984">
      <w:pPr>
        <w:jc w:val="both"/>
        <w:rPr>
          <w:rFonts w:eastAsiaTheme="majorEastAsia" w:cstheme="majorBidi"/>
          <w:color w:val="5F2167"/>
          <w:sz w:val="22"/>
        </w:rPr>
      </w:pPr>
    </w:p>
    <w:p w:rsidR="0061225A" w:rsidRPr="008B7DCB" w:rsidRDefault="0061225A" w:rsidP="00A03D62">
      <w:pPr>
        <w:rPr>
          <w:rFonts w:cs="Arial"/>
        </w:rPr>
      </w:pPr>
    </w:p>
    <w:p w:rsidR="00A03D62" w:rsidRDefault="00A03D62" w:rsidP="00A03D62">
      <w:pPr>
        <w:jc w:val="center"/>
        <w:rPr>
          <w:rFonts w:cs="Arial"/>
          <w:noProof/>
          <w:szCs w:val="24"/>
          <w:lang w:eastAsia="en-GB"/>
        </w:rPr>
      </w:pPr>
      <w:r w:rsidRPr="008B7DCB">
        <w:rPr>
          <w:rFonts w:cs="Arial"/>
          <w:szCs w:val="24"/>
        </w:rPr>
        <w:lastRenderedPageBreak/>
        <w:t>If you would like to speak to someone from the team, please call:</w:t>
      </w:r>
      <w:r w:rsidRPr="008B7DCB">
        <w:rPr>
          <w:rFonts w:cs="Arial"/>
          <w:noProof/>
          <w:szCs w:val="24"/>
          <w:lang w:eastAsia="en-GB"/>
        </w:rPr>
        <w:t xml:space="preserve"> </w:t>
      </w:r>
    </w:p>
    <w:p w:rsidR="00A03D62" w:rsidRPr="008B7DCB" w:rsidRDefault="00A03D62" w:rsidP="00A03D62">
      <w:pPr>
        <w:jc w:val="center"/>
        <w:rPr>
          <w:rFonts w:cs="Arial"/>
          <w:szCs w:val="24"/>
        </w:rPr>
      </w:pPr>
      <w:r>
        <w:rPr>
          <w:noProof/>
          <w:lang w:eastAsia="en-GB"/>
        </w:rPr>
        <w:drawing>
          <wp:inline distT="0" distB="0" distL="0" distR="0" wp14:anchorId="27918EBC" wp14:editId="161D94F2">
            <wp:extent cx="2260800" cy="1216800"/>
            <wp:effectExtent l="0" t="0" r="6350" b="2540"/>
            <wp:docPr id="17" name="Picture 17" descr="Picture of the SENDIAS service logo. An image that was designed by a Woodlands School pupil." title="SENDIAS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800" cy="1216800"/>
                    </a:xfrm>
                    <a:prstGeom prst="rect">
                      <a:avLst/>
                    </a:prstGeom>
                    <a:noFill/>
                    <a:ln>
                      <a:noFill/>
                    </a:ln>
                  </pic:spPr>
                </pic:pic>
              </a:graphicData>
            </a:graphic>
          </wp:inline>
        </w:drawing>
      </w:r>
    </w:p>
    <w:p w:rsidR="00A03D62" w:rsidRPr="008B7DCB" w:rsidRDefault="00A03D62" w:rsidP="00A03D62">
      <w:pPr>
        <w:jc w:val="center"/>
        <w:rPr>
          <w:rFonts w:cs="Arial"/>
          <w:szCs w:val="24"/>
        </w:rPr>
      </w:pPr>
      <w:r w:rsidRPr="008B7DCB">
        <w:rPr>
          <w:rFonts w:cs="Arial"/>
          <w:szCs w:val="24"/>
        </w:rPr>
        <w:t>01582 548156</w:t>
      </w:r>
    </w:p>
    <w:p w:rsidR="00A03D62" w:rsidRPr="008B7DCB" w:rsidRDefault="00755D0A" w:rsidP="00A03D62">
      <w:pPr>
        <w:jc w:val="center"/>
        <w:rPr>
          <w:rFonts w:cs="Arial"/>
          <w:szCs w:val="24"/>
        </w:rPr>
      </w:pPr>
      <w:hyperlink r:id="rId24" w:history="1">
        <w:r w:rsidR="00A03D62" w:rsidRPr="008B7DCB">
          <w:rPr>
            <w:rFonts w:cs="Arial"/>
            <w:color w:val="0563C1" w:themeColor="hyperlink"/>
            <w:szCs w:val="24"/>
            <w:u w:val="single"/>
          </w:rPr>
          <w:t>SENDIAS@luton.gov.uk</w:t>
        </w:r>
      </w:hyperlink>
    </w:p>
    <w:p w:rsidR="00CC35EF" w:rsidRPr="00CC35EF" w:rsidRDefault="00CC35EF" w:rsidP="00CC35EF">
      <w:pPr>
        <w:pStyle w:val="BodyText"/>
        <w:jc w:val="both"/>
        <w:rPr>
          <w:rFonts w:eastAsia="Times New Roman"/>
          <w:color w:val="000000"/>
        </w:rPr>
      </w:pPr>
      <w:r w:rsidRPr="00CC35EF">
        <w:rPr>
          <w:rFonts w:eastAsia="Times New Roman"/>
          <w:color w:val="000000"/>
        </w:rPr>
        <w:t>Appendices:</w:t>
      </w:r>
    </w:p>
    <w:p w:rsidR="00CC35EF" w:rsidRPr="00CC35EF" w:rsidRDefault="00CC35EF" w:rsidP="00CC35EF">
      <w:pPr>
        <w:pStyle w:val="BodyText"/>
        <w:jc w:val="both"/>
        <w:rPr>
          <w:rFonts w:eastAsia="Times New Roman"/>
          <w:color w:val="000000"/>
        </w:rPr>
      </w:pPr>
      <w:r w:rsidRPr="00CC35EF">
        <w:rPr>
          <w:rFonts w:eastAsia="Times New Roman"/>
          <w:color w:val="000000"/>
        </w:rPr>
        <w:t>A:    Levels of Service</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Appendix A</w:t>
      </w:r>
    </w:p>
    <w:p w:rsidR="00CC35EF" w:rsidRPr="00CC35EF" w:rsidRDefault="00CC35EF" w:rsidP="00CC35EF">
      <w:pPr>
        <w:pStyle w:val="BodyText"/>
        <w:jc w:val="both"/>
        <w:rPr>
          <w:rFonts w:eastAsia="Times New Roman"/>
          <w:color w:val="000000"/>
        </w:rPr>
      </w:pPr>
      <w:r w:rsidRPr="00CC35EF">
        <w:rPr>
          <w:rFonts w:eastAsia="Times New Roman"/>
          <w:color w:val="000000"/>
        </w:rPr>
        <w:t>Levels of Service</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Level 1</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lastRenderedPageBreak/>
        <w:t>•</w:t>
      </w:r>
      <w:r w:rsidRPr="00CC35EF">
        <w:rPr>
          <w:rFonts w:eastAsia="Times New Roman"/>
          <w:color w:val="000000"/>
        </w:rPr>
        <w:tab/>
        <w:t xml:space="preserve">information and advice about SEND matters, such as: the legal framework, local SEN processes and procedures, support groups, particular special educational needs or disabilities, funding arrangements, local services, web based resources, national organisations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w:t>
      </w:r>
      <w:r w:rsidRPr="00CC35EF">
        <w:rPr>
          <w:rFonts w:eastAsia="Times New Roman"/>
          <w:color w:val="000000"/>
        </w:rPr>
        <w:tab/>
      </w:r>
      <w:proofErr w:type="gramStart"/>
      <w:r w:rsidRPr="00CC35EF">
        <w:rPr>
          <w:rFonts w:eastAsia="Times New Roman"/>
          <w:color w:val="000000"/>
        </w:rPr>
        <w:t>phone</w:t>
      </w:r>
      <w:proofErr w:type="gramEnd"/>
      <w:r w:rsidRPr="00CC35EF">
        <w:rPr>
          <w:rFonts w:eastAsia="Times New Roman"/>
          <w:color w:val="000000"/>
        </w:rPr>
        <w:t xml:space="preserve"> or email support – tailored to the particular circumstances of the service user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 xml:space="preserve">Outcome; Service user confirms that their information and advice needs have been Met and/or Service user is signposted elsewhere. The service user feels confident to access further information and advice and/or to pursue matters independently or with support from other agencies or services.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lastRenderedPageBreak/>
        <w:t xml:space="preserve">Level 2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 xml:space="preserve">Any or all of Level 1 plus: </w:t>
      </w:r>
    </w:p>
    <w:p w:rsidR="00CC35EF" w:rsidRPr="00CC35EF" w:rsidRDefault="00CC35EF" w:rsidP="00CC35EF">
      <w:pPr>
        <w:pStyle w:val="BodyText"/>
        <w:jc w:val="both"/>
        <w:rPr>
          <w:rFonts w:eastAsia="Times New Roman"/>
          <w:color w:val="000000"/>
        </w:rPr>
      </w:pPr>
      <w:r w:rsidRPr="00CC35EF">
        <w:rPr>
          <w:rFonts w:eastAsia="Times New Roman"/>
          <w:color w:val="000000"/>
        </w:rPr>
        <w:t>•</w:t>
      </w:r>
      <w:r w:rsidRPr="00CC35EF">
        <w:rPr>
          <w:rFonts w:eastAsia="Times New Roman"/>
          <w:color w:val="000000"/>
        </w:rPr>
        <w:tab/>
        <w:t xml:space="preserve">help to understand or complete documentation, support in communicating with school, the LA, other services, etc. detailed and personalised guidance on following SEND or exclusion procedures, assistance in accessing services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w:t>
      </w:r>
      <w:r w:rsidRPr="00CC35EF">
        <w:rPr>
          <w:rFonts w:eastAsia="Times New Roman"/>
          <w:color w:val="000000"/>
        </w:rPr>
        <w:tab/>
        <w:t>phone or email support over a period of time, research and provision of specialised advice and information, home visit by SENDIAS or office visit by service user, provision of support at/for meeting, liaison with other agencies</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 xml:space="preserve">Outcome; Service user confirms that their information and advice and support needs have been met. Service user feels confident to continue without further support from </w:t>
      </w:r>
      <w:r w:rsidRPr="00CC35EF">
        <w:rPr>
          <w:rFonts w:eastAsia="Times New Roman"/>
          <w:color w:val="000000"/>
        </w:rPr>
        <w:lastRenderedPageBreak/>
        <w:t>SENDIAS or with support from other agencies or services.</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 xml:space="preserve">Level 3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 xml:space="preserve">Any or all of Levels 1 and 2 plus: </w:t>
      </w:r>
    </w:p>
    <w:p w:rsidR="00CC35EF" w:rsidRPr="00CC35EF" w:rsidRDefault="00CC35EF" w:rsidP="00CC35EF">
      <w:pPr>
        <w:pStyle w:val="BodyText"/>
        <w:jc w:val="both"/>
        <w:rPr>
          <w:rFonts w:eastAsia="Times New Roman"/>
          <w:color w:val="000000"/>
        </w:rPr>
      </w:pPr>
      <w:r w:rsidRPr="00CC35EF">
        <w:rPr>
          <w:rFonts w:eastAsia="Times New Roman"/>
          <w:color w:val="000000"/>
        </w:rPr>
        <w:t>•</w:t>
      </w:r>
      <w:r w:rsidRPr="00CC35EF">
        <w:rPr>
          <w:rFonts w:eastAsia="Times New Roman"/>
          <w:color w:val="000000"/>
        </w:rPr>
        <w:tab/>
        <w:t>detailed and continuing assistance and guidance with statutory processes, complex multi-agency needs, assistance in overcoming serious breakdown in communications with school/LA/other services, requires intensive support due to personal circumstances (e.g. low literacy levels, learning or sensory difficulties, English as an additional language)</w:t>
      </w:r>
    </w:p>
    <w:p w:rsidR="00CC35EF" w:rsidRPr="00CC35EF" w:rsidRDefault="00CC35EF" w:rsidP="00CC35EF">
      <w:pPr>
        <w:pStyle w:val="BodyText"/>
        <w:jc w:val="both"/>
        <w:rPr>
          <w:rFonts w:eastAsia="Times New Roman"/>
          <w:color w:val="000000"/>
        </w:rPr>
      </w:pPr>
      <w:r w:rsidRPr="00CC35EF">
        <w:rPr>
          <w:rFonts w:eastAsia="Times New Roman"/>
          <w:color w:val="000000"/>
        </w:rPr>
        <w:t xml:space="preserve"> </w:t>
      </w:r>
    </w:p>
    <w:p w:rsidR="00CC35EF" w:rsidRPr="00CC35EF" w:rsidRDefault="00CC35EF" w:rsidP="00CC35EF">
      <w:pPr>
        <w:pStyle w:val="BodyText"/>
        <w:jc w:val="both"/>
        <w:rPr>
          <w:rFonts w:eastAsia="Times New Roman"/>
          <w:color w:val="000000"/>
        </w:rPr>
      </w:pPr>
      <w:r w:rsidRPr="00CC35EF">
        <w:rPr>
          <w:rFonts w:eastAsia="Times New Roman"/>
          <w:color w:val="000000"/>
        </w:rPr>
        <w:t>•</w:t>
      </w:r>
      <w:r w:rsidRPr="00CC35EF">
        <w:rPr>
          <w:rFonts w:eastAsia="Times New Roman"/>
          <w:color w:val="000000"/>
        </w:rPr>
        <w:tab/>
      </w:r>
      <w:proofErr w:type="gramStart"/>
      <w:r w:rsidRPr="00CC35EF">
        <w:rPr>
          <w:rFonts w:eastAsia="Times New Roman"/>
          <w:color w:val="000000"/>
        </w:rPr>
        <w:t>provision</w:t>
      </w:r>
      <w:proofErr w:type="gramEnd"/>
      <w:r w:rsidRPr="00CC35EF">
        <w:rPr>
          <w:rFonts w:eastAsia="Times New Roman"/>
          <w:color w:val="000000"/>
        </w:rPr>
        <w:t xml:space="preserve"> of support at/for a series of meetings over a period of months, ongoing support and guidance through </w:t>
      </w:r>
      <w:r w:rsidRPr="00CC35EF">
        <w:rPr>
          <w:rFonts w:eastAsia="Times New Roman"/>
          <w:color w:val="000000"/>
        </w:rPr>
        <w:lastRenderedPageBreak/>
        <w:t>statutory processes (EHC needs assessment, disagreement resolution, mediation etc.), assistance with preparation for an exclusion appeal and support at the appeal meeting, SENDIAS undertakes key working role with other agencies</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 xml:space="preserve">Outcome; Service user confirms that support has enabled them to participate in processes.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Level 4</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 xml:space="preserve">Any or all of Levels 1, 2 and 3 plus: </w:t>
      </w:r>
    </w:p>
    <w:p w:rsidR="00CC35EF" w:rsidRPr="00CC35EF" w:rsidRDefault="00CC35EF" w:rsidP="00CC35EF">
      <w:pPr>
        <w:pStyle w:val="BodyText"/>
        <w:jc w:val="both"/>
        <w:rPr>
          <w:rFonts w:eastAsia="Times New Roman"/>
          <w:color w:val="000000"/>
        </w:rPr>
      </w:pPr>
      <w:r w:rsidRPr="00CC35EF">
        <w:rPr>
          <w:rFonts w:eastAsia="Times New Roman"/>
          <w:color w:val="000000"/>
        </w:rPr>
        <w:t>•</w:t>
      </w:r>
      <w:r w:rsidRPr="00CC35EF">
        <w:rPr>
          <w:rFonts w:eastAsia="Times New Roman"/>
          <w:color w:val="000000"/>
        </w:rPr>
        <w:tab/>
      </w:r>
      <w:proofErr w:type="gramStart"/>
      <w:r w:rsidRPr="00CC35EF">
        <w:rPr>
          <w:rFonts w:eastAsia="Times New Roman"/>
          <w:color w:val="000000"/>
        </w:rPr>
        <w:t>detailed</w:t>
      </w:r>
      <w:proofErr w:type="gramEnd"/>
      <w:r w:rsidRPr="00CC35EF">
        <w:rPr>
          <w:rFonts w:eastAsia="Times New Roman"/>
          <w:color w:val="000000"/>
        </w:rPr>
        <w:t xml:space="preserve"> and continuing assistance and guidance with preparation and support during: First Tier Tribunal (SEND), including Disability Discrimination Act complaints to Tribu</w:t>
      </w:r>
      <w:r w:rsidRPr="00CC35EF">
        <w:rPr>
          <w:rFonts w:eastAsia="Times New Roman"/>
          <w:color w:val="000000"/>
        </w:rPr>
        <w:lastRenderedPageBreak/>
        <w:t xml:space="preserve">nal, Complaints to Ombudsman, Judicial Review and Disputes about Child Protection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w:t>
      </w:r>
      <w:r w:rsidRPr="00CC35EF">
        <w:rPr>
          <w:rFonts w:eastAsia="Times New Roman"/>
          <w:color w:val="000000"/>
        </w:rPr>
        <w:tab/>
      </w:r>
      <w:proofErr w:type="gramStart"/>
      <w:r w:rsidRPr="00CC35EF">
        <w:rPr>
          <w:rFonts w:eastAsia="Times New Roman"/>
          <w:color w:val="000000"/>
        </w:rPr>
        <w:t>provision</w:t>
      </w:r>
      <w:proofErr w:type="gramEnd"/>
      <w:r w:rsidRPr="00CC35EF">
        <w:rPr>
          <w:rFonts w:eastAsia="Times New Roman"/>
          <w:color w:val="000000"/>
        </w:rPr>
        <w:t xml:space="preserve"> of intensive support for the service user(s) during the legal processes. This may include assistance with preparation for the legal process and support at, for example, a Tribunal hearing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r w:rsidRPr="00CC35EF">
        <w:rPr>
          <w:rFonts w:eastAsia="Times New Roman"/>
          <w:color w:val="000000"/>
        </w:rPr>
        <w:t xml:space="preserve">Outcome; Service user confirms that support has enabled them to participate in processes. </w:t>
      </w: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p>
    <w:p w:rsidR="00CC35EF" w:rsidRPr="00CC35EF" w:rsidRDefault="00CC35EF" w:rsidP="00CC35EF">
      <w:pPr>
        <w:pStyle w:val="BodyText"/>
        <w:jc w:val="both"/>
        <w:rPr>
          <w:rFonts w:eastAsia="Times New Roman"/>
          <w:color w:val="000000"/>
        </w:rPr>
      </w:pPr>
    </w:p>
    <w:p w:rsidR="00C3273B" w:rsidRDefault="00C3273B" w:rsidP="00345F58">
      <w:pPr>
        <w:jc w:val="center"/>
      </w:pPr>
    </w:p>
    <w:p w:rsidR="00CB1242" w:rsidRDefault="00CB1242" w:rsidP="00345F58">
      <w:pPr>
        <w:jc w:val="center"/>
      </w:pPr>
    </w:p>
    <w:p w:rsidR="00CB1242" w:rsidRDefault="00CB1242" w:rsidP="00345F58">
      <w:pPr>
        <w:jc w:val="center"/>
      </w:pPr>
    </w:p>
    <w:p w:rsidR="00A5566F" w:rsidRDefault="00A5566F" w:rsidP="00345F58">
      <w:pPr>
        <w:jc w:val="center"/>
      </w:pPr>
    </w:p>
    <w:p w:rsidR="00A801F9" w:rsidRDefault="00A801F9" w:rsidP="00345F58">
      <w:pPr>
        <w:jc w:val="center"/>
        <w:rPr>
          <w:noProof/>
          <w:lang w:eastAsia="en-GB"/>
        </w:rPr>
      </w:pPr>
    </w:p>
    <w:p w:rsidR="00A801F9" w:rsidRDefault="00A801F9" w:rsidP="00345F58">
      <w:pPr>
        <w:jc w:val="center"/>
        <w:rPr>
          <w:noProof/>
          <w:lang w:eastAsia="en-GB"/>
        </w:rPr>
      </w:pPr>
    </w:p>
    <w:p w:rsidR="00A5566F" w:rsidRDefault="00A5566F" w:rsidP="00B57AC2"/>
    <w:sectPr w:rsidR="00A5566F" w:rsidSect="002A1019">
      <w:footerReference w:type="default" r:id="rId25"/>
      <w:footerReference w:type="first" r:id="rId26"/>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52" w:rsidRDefault="00117E52" w:rsidP="004832CE">
      <w:pPr>
        <w:spacing w:after="0" w:line="240" w:lineRule="auto"/>
      </w:pPr>
      <w:r>
        <w:separator/>
      </w:r>
    </w:p>
  </w:endnote>
  <w:endnote w:type="continuationSeparator" w:id="0">
    <w:p w:rsidR="00117E52" w:rsidRDefault="00117E52"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rsidR="00117E52" w:rsidRPr="00A56EFE" w:rsidRDefault="00117E52"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755D0A" w:rsidRPr="00755D0A">
          <w:rPr>
            <w:noProof/>
          </w:rPr>
          <w:t>13</w:t>
        </w:r>
        <w:r w:rsidRPr="00A56EFE">
          <w:rPr>
            <w:noProof/>
            <w:sz w:val="22"/>
          </w:rPr>
          <w:fldChar w:fldCharType="end"/>
        </w:r>
        <w:r w:rsidRPr="00A56EFE">
          <w:rPr>
            <w:noProof/>
            <w:sz w:val="22"/>
          </w:rPr>
          <w:tab/>
        </w:r>
        <w:r>
          <w:rPr>
            <w:noProof/>
            <w:sz w:val="22"/>
          </w:rPr>
          <w:t>SENDIAS Service Quarterly Report 2023</w:t>
        </w:r>
        <w:r>
          <w:rPr>
            <w:noProof/>
            <w:sz w:val="22"/>
          </w:rPr>
          <w:tab/>
          <w:t>October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52" w:rsidRDefault="00117E52"/>
  <w:p w:rsidR="00117E52" w:rsidRDefault="00117E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52" w:rsidRDefault="00117E52" w:rsidP="004832CE">
      <w:pPr>
        <w:spacing w:after="0" w:line="240" w:lineRule="auto"/>
      </w:pPr>
      <w:r>
        <w:separator/>
      </w:r>
    </w:p>
  </w:footnote>
  <w:footnote w:type="continuationSeparator" w:id="0">
    <w:p w:rsidR="00117E52" w:rsidRDefault="00117E52"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71C"/>
    <w:multiLevelType w:val="hybridMultilevel"/>
    <w:tmpl w:val="DF2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F42E4"/>
    <w:multiLevelType w:val="hybridMultilevel"/>
    <w:tmpl w:val="0470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A4AAD"/>
    <w:multiLevelType w:val="hybridMultilevel"/>
    <w:tmpl w:val="23B09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3F0C7C"/>
    <w:multiLevelType w:val="hybridMultilevel"/>
    <w:tmpl w:val="57A4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31648"/>
    <w:multiLevelType w:val="hybridMultilevel"/>
    <w:tmpl w:val="60B6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4830"/>
    <w:rsid w:val="00004DFF"/>
    <w:rsid w:val="00006796"/>
    <w:rsid w:val="000111F8"/>
    <w:rsid w:val="00012544"/>
    <w:rsid w:val="0001799D"/>
    <w:rsid w:val="00024839"/>
    <w:rsid w:val="0003112F"/>
    <w:rsid w:val="00032FDE"/>
    <w:rsid w:val="00033EBA"/>
    <w:rsid w:val="00035966"/>
    <w:rsid w:val="00035C04"/>
    <w:rsid w:val="00037825"/>
    <w:rsid w:val="00037F24"/>
    <w:rsid w:val="00044070"/>
    <w:rsid w:val="00045F15"/>
    <w:rsid w:val="00046755"/>
    <w:rsid w:val="00051393"/>
    <w:rsid w:val="00053D8D"/>
    <w:rsid w:val="00054A60"/>
    <w:rsid w:val="00056893"/>
    <w:rsid w:val="0005773F"/>
    <w:rsid w:val="00062839"/>
    <w:rsid w:val="0007215F"/>
    <w:rsid w:val="000760FE"/>
    <w:rsid w:val="000863FA"/>
    <w:rsid w:val="00086783"/>
    <w:rsid w:val="000907C1"/>
    <w:rsid w:val="00094B82"/>
    <w:rsid w:val="0009562E"/>
    <w:rsid w:val="000979DE"/>
    <w:rsid w:val="000A0005"/>
    <w:rsid w:val="000A183A"/>
    <w:rsid w:val="000A4B0A"/>
    <w:rsid w:val="000A7174"/>
    <w:rsid w:val="000B0409"/>
    <w:rsid w:val="000B69A4"/>
    <w:rsid w:val="000B6B45"/>
    <w:rsid w:val="000C0541"/>
    <w:rsid w:val="000C167B"/>
    <w:rsid w:val="000C20D3"/>
    <w:rsid w:val="000C32EA"/>
    <w:rsid w:val="000C4E3F"/>
    <w:rsid w:val="000C579A"/>
    <w:rsid w:val="000C63F4"/>
    <w:rsid w:val="000D094F"/>
    <w:rsid w:val="000D112D"/>
    <w:rsid w:val="000D26D0"/>
    <w:rsid w:val="000E2DD9"/>
    <w:rsid w:val="000E2F43"/>
    <w:rsid w:val="000E4DBB"/>
    <w:rsid w:val="000E5807"/>
    <w:rsid w:val="000E6E3F"/>
    <w:rsid w:val="000F0D8A"/>
    <w:rsid w:val="000F25B8"/>
    <w:rsid w:val="000F3859"/>
    <w:rsid w:val="000F6C6F"/>
    <w:rsid w:val="000F7047"/>
    <w:rsid w:val="00100C3C"/>
    <w:rsid w:val="001022B0"/>
    <w:rsid w:val="0010376C"/>
    <w:rsid w:val="001044AE"/>
    <w:rsid w:val="00104583"/>
    <w:rsid w:val="001058AF"/>
    <w:rsid w:val="00107CAE"/>
    <w:rsid w:val="001122B2"/>
    <w:rsid w:val="00117E52"/>
    <w:rsid w:val="0012346E"/>
    <w:rsid w:val="00125586"/>
    <w:rsid w:val="00130AEE"/>
    <w:rsid w:val="0013129A"/>
    <w:rsid w:val="00132A26"/>
    <w:rsid w:val="0013463F"/>
    <w:rsid w:val="001423B4"/>
    <w:rsid w:val="0015457F"/>
    <w:rsid w:val="00154FC2"/>
    <w:rsid w:val="00156AF4"/>
    <w:rsid w:val="00161467"/>
    <w:rsid w:val="00162643"/>
    <w:rsid w:val="00163124"/>
    <w:rsid w:val="00167382"/>
    <w:rsid w:val="001706F7"/>
    <w:rsid w:val="001751FB"/>
    <w:rsid w:val="001804C5"/>
    <w:rsid w:val="00180AF6"/>
    <w:rsid w:val="00181662"/>
    <w:rsid w:val="0018302F"/>
    <w:rsid w:val="001849B9"/>
    <w:rsid w:val="0018715B"/>
    <w:rsid w:val="00190029"/>
    <w:rsid w:val="00193322"/>
    <w:rsid w:val="0019519A"/>
    <w:rsid w:val="001A2D02"/>
    <w:rsid w:val="001A2EAE"/>
    <w:rsid w:val="001B12C9"/>
    <w:rsid w:val="001B232E"/>
    <w:rsid w:val="001B2CB7"/>
    <w:rsid w:val="001B315E"/>
    <w:rsid w:val="001B4635"/>
    <w:rsid w:val="001B64ED"/>
    <w:rsid w:val="001B7343"/>
    <w:rsid w:val="001C20F7"/>
    <w:rsid w:val="001C368E"/>
    <w:rsid w:val="001C3984"/>
    <w:rsid w:val="001C5178"/>
    <w:rsid w:val="001D3A91"/>
    <w:rsid w:val="001D506F"/>
    <w:rsid w:val="001D5A58"/>
    <w:rsid w:val="001E107A"/>
    <w:rsid w:val="001E181E"/>
    <w:rsid w:val="001E4519"/>
    <w:rsid w:val="001E519C"/>
    <w:rsid w:val="001E6203"/>
    <w:rsid w:val="001E6920"/>
    <w:rsid w:val="001E7052"/>
    <w:rsid w:val="001F0342"/>
    <w:rsid w:val="00203EDF"/>
    <w:rsid w:val="00206006"/>
    <w:rsid w:val="00214407"/>
    <w:rsid w:val="002218D6"/>
    <w:rsid w:val="002253DA"/>
    <w:rsid w:val="00226B52"/>
    <w:rsid w:val="00235266"/>
    <w:rsid w:val="00243F24"/>
    <w:rsid w:val="002507C1"/>
    <w:rsid w:val="002525E4"/>
    <w:rsid w:val="00253164"/>
    <w:rsid w:val="00254C15"/>
    <w:rsid w:val="002714FB"/>
    <w:rsid w:val="00271592"/>
    <w:rsid w:val="002721B9"/>
    <w:rsid w:val="00275F80"/>
    <w:rsid w:val="00277B22"/>
    <w:rsid w:val="00281ADC"/>
    <w:rsid w:val="00283975"/>
    <w:rsid w:val="00286088"/>
    <w:rsid w:val="00293483"/>
    <w:rsid w:val="0029585E"/>
    <w:rsid w:val="00295BF6"/>
    <w:rsid w:val="0029627F"/>
    <w:rsid w:val="00297529"/>
    <w:rsid w:val="002A0243"/>
    <w:rsid w:val="002A1019"/>
    <w:rsid w:val="002A392B"/>
    <w:rsid w:val="002A5C20"/>
    <w:rsid w:val="002B64AE"/>
    <w:rsid w:val="002B6F64"/>
    <w:rsid w:val="002C1334"/>
    <w:rsid w:val="002C332F"/>
    <w:rsid w:val="002C464C"/>
    <w:rsid w:val="002C48D1"/>
    <w:rsid w:val="002C4CCE"/>
    <w:rsid w:val="002C5768"/>
    <w:rsid w:val="002D17EC"/>
    <w:rsid w:val="002D4CA4"/>
    <w:rsid w:val="002D5ECD"/>
    <w:rsid w:val="002D5EDB"/>
    <w:rsid w:val="002D65B8"/>
    <w:rsid w:val="002D6913"/>
    <w:rsid w:val="002E16AB"/>
    <w:rsid w:val="002E631B"/>
    <w:rsid w:val="002F10F9"/>
    <w:rsid w:val="002F1A04"/>
    <w:rsid w:val="002F1AC2"/>
    <w:rsid w:val="002F40EE"/>
    <w:rsid w:val="002F73CB"/>
    <w:rsid w:val="0031256A"/>
    <w:rsid w:val="00312DCB"/>
    <w:rsid w:val="0031321C"/>
    <w:rsid w:val="0031432F"/>
    <w:rsid w:val="00317606"/>
    <w:rsid w:val="0031777D"/>
    <w:rsid w:val="00317A20"/>
    <w:rsid w:val="00324E61"/>
    <w:rsid w:val="00325716"/>
    <w:rsid w:val="0033432E"/>
    <w:rsid w:val="00334A47"/>
    <w:rsid w:val="00334C82"/>
    <w:rsid w:val="003352C6"/>
    <w:rsid w:val="0033726F"/>
    <w:rsid w:val="00340480"/>
    <w:rsid w:val="00345F58"/>
    <w:rsid w:val="00355BFC"/>
    <w:rsid w:val="0035685B"/>
    <w:rsid w:val="00356A8E"/>
    <w:rsid w:val="00360251"/>
    <w:rsid w:val="00360AFD"/>
    <w:rsid w:val="00362665"/>
    <w:rsid w:val="00365D95"/>
    <w:rsid w:val="00371DD0"/>
    <w:rsid w:val="003745DB"/>
    <w:rsid w:val="003774F7"/>
    <w:rsid w:val="00380210"/>
    <w:rsid w:val="003822F6"/>
    <w:rsid w:val="00383F78"/>
    <w:rsid w:val="0038474B"/>
    <w:rsid w:val="0038482F"/>
    <w:rsid w:val="00384F71"/>
    <w:rsid w:val="00390A2A"/>
    <w:rsid w:val="00391EB5"/>
    <w:rsid w:val="003970FA"/>
    <w:rsid w:val="003A0EBB"/>
    <w:rsid w:val="003A1239"/>
    <w:rsid w:val="003A2D01"/>
    <w:rsid w:val="003A4412"/>
    <w:rsid w:val="003A5152"/>
    <w:rsid w:val="003A7016"/>
    <w:rsid w:val="003B125C"/>
    <w:rsid w:val="003B56C9"/>
    <w:rsid w:val="003C0BB7"/>
    <w:rsid w:val="003C4058"/>
    <w:rsid w:val="003C641A"/>
    <w:rsid w:val="003D02C8"/>
    <w:rsid w:val="003D19E2"/>
    <w:rsid w:val="003D1D58"/>
    <w:rsid w:val="003D3B15"/>
    <w:rsid w:val="003E0FF4"/>
    <w:rsid w:val="003E1227"/>
    <w:rsid w:val="003E5FE8"/>
    <w:rsid w:val="003E62BB"/>
    <w:rsid w:val="003F2ED2"/>
    <w:rsid w:val="003F53F9"/>
    <w:rsid w:val="004015D1"/>
    <w:rsid w:val="00403E48"/>
    <w:rsid w:val="00406150"/>
    <w:rsid w:val="00412A5C"/>
    <w:rsid w:val="00412C95"/>
    <w:rsid w:val="00416F73"/>
    <w:rsid w:val="0041792F"/>
    <w:rsid w:val="00425607"/>
    <w:rsid w:val="0043154B"/>
    <w:rsid w:val="00432E10"/>
    <w:rsid w:val="0043497B"/>
    <w:rsid w:val="00434A64"/>
    <w:rsid w:val="004370A2"/>
    <w:rsid w:val="004373D4"/>
    <w:rsid w:val="0044096D"/>
    <w:rsid w:val="00440A4F"/>
    <w:rsid w:val="004410F3"/>
    <w:rsid w:val="00441228"/>
    <w:rsid w:val="004439D8"/>
    <w:rsid w:val="00443BBC"/>
    <w:rsid w:val="00445DAD"/>
    <w:rsid w:val="00447931"/>
    <w:rsid w:val="00455467"/>
    <w:rsid w:val="00462936"/>
    <w:rsid w:val="00464385"/>
    <w:rsid w:val="00467DB1"/>
    <w:rsid w:val="00471171"/>
    <w:rsid w:val="0047285A"/>
    <w:rsid w:val="004758EB"/>
    <w:rsid w:val="004802D4"/>
    <w:rsid w:val="00481070"/>
    <w:rsid w:val="00481647"/>
    <w:rsid w:val="00482E74"/>
    <w:rsid w:val="004832CE"/>
    <w:rsid w:val="00487FD4"/>
    <w:rsid w:val="004945FC"/>
    <w:rsid w:val="004A027C"/>
    <w:rsid w:val="004A092C"/>
    <w:rsid w:val="004A2FF0"/>
    <w:rsid w:val="004A513B"/>
    <w:rsid w:val="004A7492"/>
    <w:rsid w:val="004B03CD"/>
    <w:rsid w:val="004B56E0"/>
    <w:rsid w:val="004D4439"/>
    <w:rsid w:val="004D4C79"/>
    <w:rsid w:val="004D4E4A"/>
    <w:rsid w:val="004D7841"/>
    <w:rsid w:val="004E03E7"/>
    <w:rsid w:val="004E0506"/>
    <w:rsid w:val="004E2A74"/>
    <w:rsid w:val="004E2ED9"/>
    <w:rsid w:val="004E3AAD"/>
    <w:rsid w:val="004E5D8A"/>
    <w:rsid w:val="004F3113"/>
    <w:rsid w:val="004F4A72"/>
    <w:rsid w:val="004F4E9F"/>
    <w:rsid w:val="004F55F5"/>
    <w:rsid w:val="004F6920"/>
    <w:rsid w:val="00503513"/>
    <w:rsid w:val="005172C9"/>
    <w:rsid w:val="00517586"/>
    <w:rsid w:val="00523E2E"/>
    <w:rsid w:val="0052476D"/>
    <w:rsid w:val="005415E6"/>
    <w:rsid w:val="00542280"/>
    <w:rsid w:val="00542963"/>
    <w:rsid w:val="0054421F"/>
    <w:rsid w:val="005539D4"/>
    <w:rsid w:val="00556422"/>
    <w:rsid w:val="005602E8"/>
    <w:rsid w:val="005622EA"/>
    <w:rsid w:val="005652F2"/>
    <w:rsid w:val="00567D6E"/>
    <w:rsid w:val="00567D77"/>
    <w:rsid w:val="00570380"/>
    <w:rsid w:val="0057170F"/>
    <w:rsid w:val="00575BE8"/>
    <w:rsid w:val="00575C06"/>
    <w:rsid w:val="005773F9"/>
    <w:rsid w:val="0058178C"/>
    <w:rsid w:val="00582C21"/>
    <w:rsid w:val="00582D96"/>
    <w:rsid w:val="0058586D"/>
    <w:rsid w:val="005866FE"/>
    <w:rsid w:val="00586AB3"/>
    <w:rsid w:val="005958EE"/>
    <w:rsid w:val="005A0754"/>
    <w:rsid w:val="005A0F02"/>
    <w:rsid w:val="005A1C01"/>
    <w:rsid w:val="005A3436"/>
    <w:rsid w:val="005A3DEA"/>
    <w:rsid w:val="005A725F"/>
    <w:rsid w:val="005B0CC5"/>
    <w:rsid w:val="005B4D82"/>
    <w:rsid w:val="005B5B90"/>
    <w:rsid w:val="005B652B"/>
    <w:rsid w:val="005B7A92"/>
    <w:rsid w:val="005C1703"/>
    <w:rsid w:val="005C29FF"/>
    <w:rsid w:val="005C5213"/>
    <w:rsid w:val="005C7738"/>
    <w:rsid w:val="005D7659"/>
    <w:rsid w:val="005E1183"/>
    <w:rsid w:val="005F0AA0"/>
    <w:rsid w:val="005F177B"/>
    <w:rsid w:val="005F2244"/>
    <w:rsid w:val="005F2B87"/>
    <w:rsid w:val="005F33F8"/>
    <w:rsid w:val="005F5F27"/>
    <w:rsid w:val="005F6928"/>
    <w:rsid w:val="00606F21"/>
    <w:rsid w:val="0061225A"/>
    <w:rsid w:val="00612DB4"/>
    <w:rsid w:val="006130D4"/>
    <w:rsid w:val="006132A2"/>
    <w:rsid w:val="00616DA4"/>
    <w:rsid w:val="00621A64"/>
    <w:rsid w:val="00622831"/>
    <w:rsid w:val="00627C8C"/>
    <w:rsid w:val="006310A4"/>
    <w:rsid w:val="00631AEE"/>
    <w:rsid w:val="0063222C"/>
    <w:rsid w:val="006332A6"/>
    <w:rsid w:val="006459B1"/>
    <w:rsid w:val="0064768C"/>
    <w:rsid w:val="00655271"/>
    <w:rsid w:val="00657B4A"/>
    <w:rsid w:val="00660A0F"/>
    <w:rsid w:val="006621FD"/>
    <w:rsid w:val="006624EB"/>
    <w:rsid w:val="006643C5"/>
    <w:rsid w:val="00666390"/>
    <w:rsid w:val="00666559"/>
    <w:rsid w:val="006669B3"/>
    <w:rsid w:val="00670080"/>
    <w:rsid w:val="0067056C"/>
    <w:rsid w:val="006705AE"/>
    <w:rsid w:val="00672C30"/>
    <w:rsid w:val="00674C9A"/>
    <w:rsid w:val="00680561"/>
    <w:rsid w:val="00680A65"/>
    <w:rsid w:val="00681EB4"/>
    <w:rsid w:val="00684555"/>
    <w:rsid w:val="00695A56"/>
    <w:rsid w:val="006A226E"/>
    <w:rsid w:val="006B2567"/>
    <w:rsid w:val="006B483A"/>
    <w:rsid w:val="006B5F20"/>
    <w:rsid w:val="006C494F"/>
    <w:rsid w:val="006C7C64"/>
    <w:rsid w:val="006D2022"/>
    <w:rsid w:val="006D4171"/>
    <w:rsid w:val="006D720B"/>
    <w:rsid w:val="006E3D45"/>
    <w:rsid w:val="006E434F"/>
    <w:rsid w:val="006E7906"/>
    <w:rsid w:val="006E7E09"/>
    <w:rsid w:val="006F1E26"/>
    <w:rsid w:val="006F4DDE"/>
    <w:rsid w:val="006F4E47"/>
    <w:rsid w:val="006F5616"/>
    <w:rsid w:val="006F6969"/>
    <w:rsid w:val="00701DE4"/>
    <w:rsid w:val="007066B8"/>
    <w:rsid w:val="00710C7A"/>
    <w:rsid w:val="0071253C"/>
    <w:rsid w:val="007127B4"/>
    <w:rsid w:val="00712E50"/>
    <w:rsid w:val="00713C24"/>
    <w:rsid w:val="0071665C"/>
    <w:rsid w:val="00720F1E"/>
    <w:rsid w:val="007222DC"/>
    <w:rsid w:val="00726100"/>
    <w:rsid w:val="00730148"/>
    <w:rsid w:val="00730FCC"/>
    <w:rsid w:val="007336CA"/>
    <w:rsid w:val="007357D2"/>
    <w:rsid w:val="0074419A"/>
    <w:rsid w:val="00744FF8"/>
    <w:rsid w:val="00754383"/>
    <w:rsid w:val="00755D0A"/>
    <w:rsid w:val="00757F31"/>
    <w:rsid w:val="00761914"/>
    <w:rsid w:val="00763FC3"/>
    <w:rsid w:val="00766B95"/>
    <w:rsid w:val="007672A8"/>
    <w:rsid w:val="0077315C"/>
    <w:rsid w:val="00774D4F"/>
    <w:rsid w:val="00774FE4"/>
    <w:rsid w:val="00775A6F"/>
    <w:rsid w:val="007774F7"/>
    <w:rsid w:val="00780C71"/>
    <w:rsid w:val="007822FC"/>
    <w:rsid w:val="007841BD"/>
    <w:rsid w:val="00785506"/>
    <w:rsid w:val="00790721"/>
    <w:rsid w:val="00795890"/>
    <w:rsid w:val="007A35AD"/>
    <w:rsid w:val="007A4B4E"/>
    <w:rsid w:val="007A4DF1"/>
    <w:rsid w:val="007B5B1F"/>
    <w:rsid w:val="007B61A9"/>
    <w:rsid w:val="007B77C1"/>
    <w:rsid w:val="007C33D6"/>
    <w:rsid w:val="007C3A99"/>
    <w:rsid w:val="007C3B7E"/>
    <w:rsid w:val="007C79AB"/>
    <w:rsid w:val="007D2A0C"/>
    <w:rsid w:val="007D5FD7"/>
    <w:rsid w:val="007D7C8C"/>
    <w:rsid w:val="007D7E12"/>
    <w:rsid w:val="007E2D8C"/>
    <w:rsid w:val="007E4F1D"/>
    <w:rsid w:val="007F2F74"/>
    <w:rsid w:val="007F3265"/>
    <w:rsid w:val="007F4E4B"/>
    <w:rsid w:val="00805851"/>
    <w:rsid w:val="00805A4D"/>
    <w:rsid w:val="008068DD"/>
    <w:rsid w:val="00806A4E"/>
    <w:rsid w:val="0081039B"/>
    <w:rsid w:val="0081180B"/>
    <w:rsid w:val="008128D3"/>
    <w:rsid w:val="008169A0"/>
    <w:rsid w:val="00816FAD"/>
    <w:rsid w:val="008178B3"/>
    <w:rsid w:val="008205AC"/>
    <w:rsid w:val="00820866"/>
    <w:rsid w:val="00831DDC"/>
    <w:rsid w:val="00833A4B"/>
    <w:rsid w:val="00840090"/>
    <w:rsid w:val="00844CD3"/>
    <w:rsid w:val="00844E9F"/>
    <w:rsid w:val="008465F0"/>
    <w:rsid w:val="00846EED"/>
    <w:rsid w:val="00847C84"/>
    <w:rsid w:val="00852275"/>
    <w:rsid w:val="00852318"/>
    <w:rsid w:val="00852EDF"/>
    <w:rsid w:val="0085313E"/>
    <w:rsid w:val="00854C95"/>
    <w:rsid w:val="00856085"/>
    <w:rsid w:val="00856F82"/>
    <w:rsid w:val="008628CE"/>
    <w:rsid w:val="0086408E"/>
    <w:rsid w:val="008647C9"/>
    <w:rsid w:val="008660A3"/>
    <w:rsid w:val="00866393"/>
    <w:rsid w:val="00866683"/>
    <w:rsid w:val="0087173D"/>
    <w:rsid w:val="008717C6"/>
    <w:rsid w:val="00871B59"/>
    <w:rsid w:val="00876137"/>
    <w:rsid w:val="008764F1"/>
    <w:rsid w:val="008874DA"/>
    <w:rsid w:val="00890BBB"/>
    <w:rsid w:val="00890D30"/>
    <w:rsid w:val="00894020"/>
    <w:rsid w:val="00894D02"/>
    <w:rsid w:val="00895A42"/>
    <w:rsid w:val="008A1905"/>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3234"/>
    <w:rsid w:val="008F4845"/>
    <w:rsid w:val="00901EA5"/>
    <w:rsid w:val="00912C95"/>
    <w:rsid w:val="00914302"/>
    <w:rsid w:val="00917B7C"/>
    <w:rsid w:val="00917E4B"/>
    <w:rsid w:val="00924A4E"/>
    <w:rsid w:val="009259FB"/>
    <w:rsid w:val="009327F2"/>
    <w:rsid w:val="0093378E"/>
    <w:rsid w:val="009358BC"/>
    <w:rsid w:val="009406B0"/>
    <w:rsid w:val="00940EB2"/>
    <w:rsid w:val="009431CA"/>
    <w:rsid w:val="009431E3"/>
    <w:rsid w:val="00943E3E"/>
    <w:rsid w:val="0094517A"/>
    <w:rsid w:val="00957D86"/>
    <w:rsid w:val="009602D0"/>
    <w:rsid w:val="00963377"/>
    <w:rsid w:val="00974494"/>
    <w:rsid w:val="00974B0F"/>
    <w:rsid w:val="00976019"/>
    <w:rsid w:val="009811A1"/>
    <w:rsid w:val="00985BF1"/>
    <w:rsid w:val="009906AA"/>
    <w:rsid w:val="009913F4"/>
    <w:rsid w:val="00992B14"/>
    <w:rsid w:val="009935DA"/>
    <w:rsid w:val="009956C3"/>
    <w:rsid w:val="00996E17"/>
    <w:rsid w:val="009A05C4"/>
    <w:rsid w:val="009A3BD9"/>
    <w:rsid w:val="009A541E"/>
    <w:rsid w:val="009A7117"/>
    <w:rsid w:val="009B098C"/>
    <w:rsid w:val="009B0A0B"/>
    <w:rsid w:val="009C12EC"/>
    <w:rsid w:val="009C3AEE"/>
    <w:rsid w:val="009C4ADF"/>
    <w:rsid w:val="009D0F0F"/>
    <w:rsid w:val="009D2A4D"/>
    <w:rsid w:val="009D3E59"/>
    <w:rsid w:val="009D46FC"/>
    <w:rsid w:val="009D6810"/>
    <w:rsid w:val="009D68A3"/>
    <w:rsid w:val="009E06C1"/>
    <w:rsid w:val="009E17B9"/>
    <w:rsid w:val="009E670F"/>
    <w:rsid w:val="009E6FB1"/>
    <w:rsid w:val="009E795A"/>
    <w:rsid w:val="009E7BE0"/>
    <w:rsid w:val="009F0718"/>
    <w:rsid w:val="009F3DC4"/>
    <w:rsid w:val="009F4F97"/>
    <w:rsid w:val="009F709F"/>
    <w:rsid w:val="00A03D62"/>
    <w:rsid w:val="00A05454"/>
    <w:rsid w:val="00A0675E"/>
    <w:rsid w:val="00A15CEE"/>
    <w:rsid w:val="00A1763D"/>
    <w:rsid w:val="00A24CDA"/>
    <w:rsid w:val="00A24E5E"/>
    <w:rsid w:val="00A24F83"/>
    <w:rsid w:val="00A25186"/>
    <w:rsid w:val="00A26BBC"/>
    <w:rsid w:val="00A27665"/>
    <w:rsid w:val="00A32F31"/>
    <w:rsid w:val="00A40BA5"/>
    <w:rsid w:val="00A418A6"/>
    <w:rsid w:val="00A4200B"/>
    <w:rsid w:val="00A47C50"/>
    <w:rsid w:val="00A51EBB"/>
    <w:rsid w:val="00A5566F"/>
    <w:rsid w:val="00A55773"/>
    <w:rsid w:val="00A55856"/>
    <w:rsid w:val="00A55DF1"/>
    <w:rsid w:val="00A565B7"/>
    <w:rsid w:val="00A56D71"/>
    <w:rsid w:val="00A56EFE"/>
    <w:rsid w:val="00A628BB"/>
    <w:rsid w:val="00A70BC8"/>
    <w:rsid w:val="00A73BBD"/>
    <w:rsid w:val="00A73FDD"/>
    <w:rsid w:val="00A801F9"/>
    <w:rsid w:val="00A82507"/>
    <w:rsid w:val="00A827AC"/>
    <w:rsid w:val="00A84178"/>
    <w:rsid w:val="00A85829"/>
    <w:rsid w:val="00A85E2B"/>
    <w:rsid w:val="00A86950"/>
    <w:rsid w:val="00A9311E"/>
    <w:rsid w:val="00A94752"/>
    <w:rsid w:val="00A95563"/>
    <w:rsid w:val="00AA0CD0"/>
    <w:rsid w:val="00AA37C8"/>
    <w:rsid w:val="00AB5912"/>
    <w:rsid w:val="00AD1039"/>
    <w:rsid w:val="00AD3B72"/>
    <w:rsid w:val="00AD5372"/>
    <w:rsid w:val="00AD6342"/>
    <w:rsid w:val="00AE3DE0"/>
    <w:rsid w:val="00AE3E87"/>
    <w:rsid w:val="00AE4F02"/>
    <w:rsid w:val="00AE5D42"/>
    <w:rsid w:val="00AF4165"/>
    <w:rsid w:val="00AF522B"/>
    <w:rsid w:val="00AF73C3"/>
    <w:rsid w:val="00AF7892"/>
    <w:rsid w:val="00AF7CDF"/>
    <w:rsid w:val="00B0648B"/>
    <w:rsid w:val="00B0692E"/>
    <w:rsid w:val="00B10892"/>
    <w:rsid w:val="00B11922"/>
    <w:rsid w:val="00B155C1"/>
    <w:rsid w:val="00B16F84"/>
    <w:rsid w:val="00B205C3"/>
    <w:rsid w:val="00B212D6"/>
    <w:rsid w:val="00B22A21"/>
    <w:rsid w:val="00B22B70"/>
    <w:rsid w:val="00B262FF"/>
    <w:rsid w:val="00B26C2D"/>
    <w:rsid w:val="00B26ED4"/>
    <w:rsid w:val="00B307C1"/>
    <w:rsid w:val="00B34F70"/>
    <w:rsid w:val="00B35EDF"/>
    <w:rsid w:val="00B37C8C"/>
    <w:rsid w:val="00B40A45"/>
    <w:rsid w:val="00B51C1B"/>
    <w:rsid w:val="00B5300B"/>
    <w:rsid w:val="00B537F9"/>
    <w:rsid w:val="00B56C56"/>
    <w:rsid w:val="00B57AC2"/>
    <w:rsid w:val="00B57CEA"/>
    <w:rsid w:val="00B62157"/>
    <w:rsid w:val="00B62C8E"/>
    <w:rsid w:val="00B636EC"/>
    <w:rsid w:val="00B652C1"/>
    <w:rsid w:val="00B754A2"/>
    <w:rsid w:val="00B82DF8"/>
    <w:rsid w:val="00B84BEE"/>
    <w:rsid w:val="00B87E2A"/>
    <w:rsid w:val="00B948A1"/>
    <w:rsid w:val="00B94B90"/>
    <w:rsid w:val="00BA099A"/>
    <w:rsid w:val="00BA0A78"/>
    <w:rsid w:val="00BA2BFD"/>
    <w:rsid w:val="00BA5694"/>
    <w:rsid w:val="00BA5A08"/>
    <w:rsid w:val="00BB0F61"/>
    <w:rsid w:val="00BB0FF6"/>
    <w:rsid w:val="00BB36B1"/>
    <w:rsid w:val="00BB40A1"/>
    <w:rsid w:val="00BB54A6"/>
    <w:rsid w:val="00BB5C83"/>
    <w:rsid w:val="00BC0E41"/>
    <w:rsid w:val="00BC41C5"/>
    <w:rsid w:val="00BC7CEA"/>
    <w:rsid w:val="00BC7ED6"/>
    <w:rsid w:val="00BD108B"/>
    <w:rsid w:val="00BD1A17"/>
    <w:rsid w:val="00BD347E"/>
    <w:rsid w:val="00BD4228"/>
    <w:rsid w:val="00BD4B1B"/>
    <w:rsid w:val="00BD5377"/>
    <w:rsid w:val="00BD6D4A"/>
    <w:rsid w:val="00BE312E"/>
    <w:rsid w:val="00BE6295"/>
    <w:rsid w:val="00BE6FE9"/>
    <w:rsid w:val="00BE76ED"/>
    <w:rsid w:val="00BF2F84"/>
    <w:rsid w:val="00BF4488"/>
    <w:rsid w:val="00BF542A"/>
    <w:rsid w:val="00BF5C5F"/>
    <w:rsid w:val="00BF6307"/>
    <w:rsid w:val="00C002FC"/>
    <w:rsid w:val="00C02261"/>
    <w:rsid w:val="00C0296C"/>
    <w:rsid w:val="00C03CCC"/>
    <w:rsid w:val="00C03E74"/>
    <w:rsid w:val="00C06A7C"/>
    <w:rsid w:val="00C13487"/>
    <w:rsid w:val="00C147F0"/>
    <w:rsid w:val="00C16064"/>
    <w:rsid w:val="00C17D6E"/>
    <w:rsid w:val="00C21DF2"/>
    <w:rsid w:val="00C2258C"/>
    <w:rsid w:val="00C23355"/>
    <w:rsid w:val="00C26C73"/>
    <w:rsid w:val="00C27CD1"/>
    <w:rsid w:val="00C3273B"/>
    <w:rsid w:val="00C34EB1"/>
    <w:rsid w:val="00C35626"/>
    <w:rsid w:val="00C35790"/>
    <w:rsid w:val="00C35943"/>
    <w:rsid w:val="00C377F2"/>
    <w:rsid w:val="00C3798E"/>
    <w:rsid w:val="00C40A92"/>
    <w:rsid w:val="00C40D83"/>
    <w:rsid w:val="00C41667"/>
    <w:rsid w:val="00C42638"/>
    <w:rsid w:val="00C433C1"/>
    <w:rsid w:val="00C452D1"/>
    <w:rsid w:val="00C4783F"/>
    <w:rsid w:val="00C50574"/>
    <w:rsid w:val="00C52C40"/>
    <w:rsid w:val="00C55384"/>
    <w:rsid w:val="00C60F7F"/>
    <w:rsid w:val="00C62C75"/>
    <w:rsid w:val="00C647BC"/>
    <w:rsid w:val="00C6613E"/>
    <w:rsid w:val="00C66375"/>
    <w:rsid w:val="00C67E5F"/>
    <w:rsid w:val="00C70D78"/>
    <w:rsid w:val="00C745B1"/>
    <w:rsid w:val="00C750B5"/>
    <w:rsid w:val="00C75ECF"/>
    <w:rsid w:val="00C8174F"/>
    <w:rsid w:val="00C836D0"/>
    <w:rsid w:val="00C83B66"/>
    <w:rsid w:val="00C84838"/>
    <w:rsid w:val="00C852DF"/>
    <w:rsid w:val="00C87CC9"/>
    <w:rsid w:val="00C91762"/>
    <w:rsid w:val="00C9280F"/>
    <w:rsid w:val="00C94A8C"/>
    <w:rsid w:val="00C9516E"/>
    <w:rsid w:val="00C95D84"/>
    <w:rsid w:val="00C96D56"/>
    <w:rsid w:val="00CA0382"/>
    <w:rsid w:val="00CA050B"/>
    <w:rsid w:val="00CA7F9B"/>
    <w:rsid w:val="00CB1242"/>
    <w:rsid w:val="00CB31F9"/>
    <w:rsid w:val="00CB4A77"/>
    <w:rsid w:val="00CB4EDC"/>
    <w:rsid w:val="00CC1D73"/>
    <w:rsid w:val="00CC2246"/>
    <w:rsid w:val="00CC35EF"/>
    <w:rsid w:val="00CC3901"/>
    <w:rsid w:val="00CC3C30"/>
    <w:rsid w:val="00CC7012"/>
    <w:rsid w:val="00CC7CF0"/>
    <w:rsid w:val="00CD3224"/>
    <w:rsid w:val="00CD3A09"/>
    <w:rsid w:val="00CD4F09"/>
    <w:rsid w:val="00CD51D5"/>
    <w:rsid w:val="00CD6D95"/>
    <w:rsid w:val="00CE2E6F"/>
    <w:rsid w:val="00CE400E"/>
    <w:rsid w:val="00CE66A2"/>
    <w:rsid w:val="00CF174C"/>
    <w:rsid w:val="00CF647B"/>
    <w:rsid w:val="00D00391"/>
    <w:rsid w:val="00D03271"/>
    <w:rsid w:val="00D05434"/>
    <w:rsid w:val="00D108C7"/>
    <w:rsid w:val="00D130F6"/>
    <w:rsid w:val="00D134A8"/>
    <w:rsid w:val="00D21470"/>
    <w:rsid w:val="00D22D96"/>
    <w:rsid w:val="00D27F9E"/>
    <w:rsid w:val="00D337D9"/>
    <w:rsid w:val="00D35BC7"/>
    <w:rsid w:val="00D3787A"/>
    <w:rsid w:val="00D416A8"/>
    <w:rsid w:val="00D43E48"/>
    <w:rsid w:val="00D4637E"/>
    <w:rsid w:val="00D46F6D"/>
    <w:rsid w:val="00D47B69"/>
    <w:rsid w:val="00D5095E"/>
    <w:rsid w:val="00D52436"/>
    <w:rsid w:val="00D61247"/>
    <w:rsid w:val="00D614FC"/>
    <w:rsid w:val="00D63A17"/>
    <w:rsid w:val="00D662A2"/>
    <w:rsid w:val="00D66689"/>
    <w:rsid w:val="00D7198D"/>
    <w:rsid w:val="00D7372C"/>
    <w:rsid w:val="00D741DD"/>
    <w:rsid w:val="00D74CC2"/>
    <w:rsid w:val="00D778AE"/>
    <w:rsid w:val="00D8326B"/>
    <w:rsid w:val="00D838D6"/>
    <w:rsid w:val="00D83942"/>
    <w:rsid w:val="00D84F88"/>
    <w:rsid w:val="00D87566"/>
    <w:rsid w:val="00D9047B"/>
    <w:rsid w:val="00D93E85"/>
    <w:rsid w:val="00D94AA6"/>
    <w:rsid w:val="00D97D7E"/>
    <w:rsid w:val="00DA1CCB"/>
    <w:rsid w:val="00DA44FE"/>
    <w:rsid w:val="00DA4610"/>
    <w:rsid w:val="00DA4FAF"/>
    <w:rsid w:val="00DA4FD8"/>
    <w:rsid w:val="00DA6D64"/>
    <w:rsid w:val="00DB0C90"/>
    <w:rsid w:val="00DB322C"/>
    <w:rsid w:val="00DB6C2C"/>
    <w:rsid w:val="00DB7F81"/>
    <w:rsid w:val="00DC1B49"/>
    <w:rsid w:val="00DC1E38"/>
    <w:rsid w:val="00DC2EA8"/>
    <w:rsid w:val="00DC359C"/>
    <w:rsid w:val="00DD0545"/>
    <w:rsid w:val="00DD06CF"/>
    <w:rsid w:val="00DD64F5"/>
    <w:rsid w:val="00DE13FD"/>
    <w:rsid w:val="00DE1776"/>
    <w:rsid w:val="00DE2592"/>
    <w:rsid w:val="00DE2E3A"/>
    <w:rsid w:val="00DE5FF1"/>
    <w:rsid w:val="00DF03AF"/>
    <w:rsid w:val="00DF198D"/>
    <w:rsid w:val="00DF1B98"/>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178"/>
    <w:rsid w:val="00E22BB9"/>
    <w:rsid w:val="00E234C0"/>
    <w:rsid w:val="00E26949"/>
    <w:rsid w:val="00E31E33"/>
    <w:rsid w:val="00E325CF"/>
    <w:rsid w:val="00E33D8B"/>
    <w:rsid w:val="00E36BDE"/>
    <w:rsid w:val="00E41124"/>
    <w:rsid w:val="00E46A80"/>
    <w:rsid w:val="00E51B0E"/>
    <w:rsid w:val="00E51E3B"/>
    <w:rsid w:val="00E5367F"/>
    <w:rsid w:val="00E54E58"/>
    <w:rsid w:val="00E574B1"/>
    <w:rsid w:val="00E71BB2"/>
    <w:rsid w:val="00E74C30"/>
    <w:rsid w:val="00E80B19"/>
    <w:rsid w:val="00E83424"/>
    <w:rsid w:val="00E8595C"/>
    <w:rsid w:val="00E86501"/>
    <w:rsid w:val="00E867BE"/>
    <w:rsid w:val="00E970C1"/>
    <w:rsid w:val="00EA6BD3"/>
    <w:rsid w:val="00EA7777"/>
    <w:rsid w:val="00EB50CB"/>
    <w:rsid w:val="00EC06F7"/>
    <w:rsid w:val="00EC1988"/>
    <w:rsid w:val="00ED1B1B"/>
    <w:rsid w:val="00ED5227"/>
    <w:rsid w:val="00ED787E"/>
    <w:rsid w:val="00ED7EC6"/>
    <w:rsid w:val="00EE571F"/>
    <w:rsid w:val="00EE5723"/>
    <w:rsid w:val="00EE68C0"/>
    <w:rsid w:val="00EF1368"/>
    <w:rsid w:val="00EF1EEE"/>
    <w:rsid w:val="00EF2143"/>
    <w:rsid w:val="00EF254F"/>
    <w:rsid w:val="00EF2BCC"/>
    <w:rsid w:val="00EF5A95"/>
    <w:rsid w:val="00EF6411"/>
    <w:rsid w:val="00EF7729"/>
    <w:rsid w:val="00EF7BC6"/>
    <w:rsid w:val="00F0100A"/>
    <w:rsid w:val="00F02EFB"/>
    <w:rsid w:val="00F03507"/>
    <w:rsid w:val="00F060CE"/>
    <w:rsid w:val="00F077B4"/>
    <w:rsid w:val="00F07F9F"/>
    <w:rsid w:val="00F11352"/>
    <w:rsid w:val="00F23491"/>
    <w:rsid w:val="00F254D4"/>
    <w:rsid w:val="00F2740E"/>
    <w:rsid w:val="00F31950"/>
    <w:rsid w:val="00F3305A"/>
    <w:rsid w:val="00F34896"/>
    <w:rsid w:val="00F3784E"/>
    <w:rsid w:val="00F411B6"/>
    <w:rsid w:val="00F440AB"/>
    <w:rsid w:val="00F45A3A"/>
    <w:rsid w:val="00F47DC3"/>
    <w:rsid w:val="00F53A0C"/>
    <w:rsid w:val="00F55455"/>
    <w:rsid w:val="00F6073C"/>
    <w:rsid w:val="00F608DC"/>
    <w:rsid w:val="00F60D9C"/>
    <w:rsid w:val="00F64376"/>
    <w:rsid w:val="00F70923"/>
    <w:rsid w:val="00F83C52"/>
    <w:rsid w:val="00F84EB0"/>
    <w:rsid w:val="00F862EE"/>
    <w:rsid w:val="00F91CBA"/>
    <w:rsid w:val="00F9285E"/>
    <w:rsid w:val="00F94EF4"/>
    <w:rsid w:val="00F951D7"/>
    <w:rsid w:val="00F95CA0"/>
    <w:rsid w:val="00FA08CD"/>
    <w:rsid w:val="00FA2555"/>
    <w:rsid w:val="00FA282B"/>
    <w:rsid w:val="00FA2A90"/>
    <w:rsid w:val="00FA6E0B"/>
    <w:rsid w:val="00FB629C"/>
    <w:rsid w:val="00FB6661"/>
    <w:rsid w:val="00FB7B03"/>
    <w:rsid w:val="00FC0931"/>
    <w:rsid w:val="00FC09AD"/>
    <w:rsid w:val="00FC55FE"/>
    <w:rsid w:val="00FC64EF"/>
    <w:rsid w:val="00FC6FA0"/>
    <w:rsid w:val="00FD0031"/>
    <w:rsid w:val="00FD1D9E"/>
    <w:rsid w:val="00FD42E5"/>
    <w:rsid w:val="00FD47CA"/>
    <w:rsid w:val="00FE33BB"/>
    <w:rsid w:val="00FE47BD"/>
    <w:rsid w:val="00FE73DA"/>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2A1019"/>
    <w:pPr>
      <w:keepNext/>
      <w:keepLines/>
      <w:spacing w:before="400"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2A1019"/>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39"/>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 w:type="paragraph" w:customStyle="1" w:styleId="Default">
    <w:name w:val="Default"/>
    <w:rsid w:val="00CC7CF0"/>
    <w:pPr>
      <w:autoSpaceDE w:val="0"/>
      <w:autoSpaceDN w:val="0"/>
      <w:adjustRightInd w:val="0"/>
      <w:spacing w:after="0" w:line="240" w:lineRule="auto"/>
    </w:pPr>
    <w:rPr>
      <w:rFonts w:ascii="Arial" w:eastAsiaTheme="minorHAnsi" w:hAnsi="Arial" w:cs="Arial"/>
      <w:color w:val="000000"/>
      <w:sz w:val="24"/>
      <w:szCs w:val="24"/>
    </w:rPr>
  </w:style>
  <w:style w:type="paragraph" w:styleId="FootnoteText">
    <w:name w:val="footnote text"/>
    <w:basedOn w:val="Normal"/>
    <w:link w:val="FootnoteTextChar"/>
    <w:uiPriority w:val="99"/>
    <w:semiHidden/>
    <w:unhideWhenUsed/>
    <w:rsid w:val="002721B9"/>
    <w:pPr>
      <w:spacing w:after="0" w:line="240" w:lineRule="auto"/>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2721B9"/>
    <w:rPr>
      <w:rFonts w:eastAsiaTheme="minorHAnsi"/>
      <w:sz w:val="20"/>
      <w:szCs w:val="20"/>
    </w:rPr>
  </w:style>
  <w:style w:type="character" w:styleId="FootnoteReference">
    <w:name w:val="footnote reference"/>
    <w:basedOn w:val="DefaultParagraphFont"/>
    <w:uiPriority w:val="99"/>
    <w:semiHidden/>
    <w:unhideWhenUsed/>
    <w:rsid w:val="002721B9"/>
    <w:rPr>
      <w:vertAlign w:val="superscript"/>
    </w:rPr>
  </w:style>
  <w:style w:type="character" w:styleId="CommentReference">
    <w:name w:val="annotation reference"/>
    <w:basedOn w:val="DefaultParagraphFont"/>
    <w:uiPriority w:val="99"/>
    <w:semiHidden/>
    <w:unhideWhenUsed/>
    <w:rsid w:val="00974494"/>
    <w:rPr>
      <w:sz w:val="16"/>
      <w:szCs w:val="16"/>
    </w:rPr>
  </w:style>
  <w:style w:type="paragraph" w:styleId="CommentText">
    <w:name w:val="annotation text"/>
    <w:basedOn w:val="Normal"/>
    <w:link w:val="CommentTextChar"/>
    <w:uiPriority w:val="99"/>
    <w:semiHidden/>
    <w:unhideWhenUsed/>
    <w:rsid w:val="00974494"/>
    <w:pPr>
      <w:spacing w:line="240" w:lineRule="auto"/>
    </w:pPr>
    <w:rPr>
      <w:sz w:val="20"/>
      <w:szCs w:val="20"/>
    </w:rPr>
  </w:style>
  <w:style w:type="character" w:customStyle="1" w:styleId="CommentTextChar">
    <w:name w:val="Comment Text Char"/>
    <w:basedOn w:val="DefaultParagraphFont"/>
    <w:link w:val="CommentText"/>
    <w:uiPriority w:val="99"/>
    <w:semiHidden/>
    <w:rsid w:val="009744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4494"/>
    <w:rPr>
      <w:b/>
      <w:bCs/>
    </w:rPr>
  </w:style>
  <w:style w:type="character" w:customStyle="1" w:styleId="CommentSubjectChar">
    <w:name w:val="Comment Subject Char"/>
    <w:basedOn w:val="CommentTextChar"/>
    <w:link w:val="CommentSubject"/>
    <w:uiPriority w:val="99"/>
    <w:semiHidden/>
    <w:rsid w:val="00974494"/>
    <w:rPr>
      <w:rFonts w:ascii="Arial" w:hAnsi="Arial"/>
      <w:b/>
      <w:bCs/>
      <w:sz w:val="20"/>
      <w:szCs w:val="20"/>
    </w:rPr>
  </w:style>
  <w:style w:type="paragraph" w:styleId="BalloonText">
    <w:name w:val="Balloon Text"/>
    <w:basedOn w:val="Normal"/>
    <w:link w:val="BalloonTextChar"/>
    <w:uiPriority w:val="99"/>
    <w:semiHidden/>
    <w:unhideWhenUsed/>
    <w:rsid w:val="00974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494"/>
    <w:rPr>
      <w:rFonts w:ascii="Segoe UI" w:hAnsi="Segoe UI" w:cs="Segoe UI"/>
      <w:sz w:val="18"/>
      <w:szCs w:val="18"/>
    </w:rPr>
  </w:style>
  <w:style w:type="table" w:styleId="TableGridLight">
    <w:name w:val="Grid Table Light"/>
    <w:basedOn w:val="TableNormal"/>
    <w:uiPriority w:val="40"/>
    <w:rsid w:val="00281A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2452">
      <w:bodyDiv w:val="1"/>
      <w:marLeft w:val="0"/>
      <w:marRight w:val="0"/>
      <w:marTop w:val="0"/>
      <w:marBottom w:val="0"/>
      <w:divBdr>
        <w:top w:val="none" w:sz="0" w:space="0" w:color="auto"/>
        <w:left w:val="none" w:sz="0" w:space="0" w:color="auto"/>
        <w:bottom w:val="none" w:sz="0" w:space="0" w:color="auto"/>
        <w:right w:val="none" w:sz="0" w:space="0" w:color="auto"/>
      </w:divBdr>
    </w:div>
    <w:div w:id="210003374">
      <w:bodyDiv w:val="1"/>
      <w:marLeft w:val="0"/>
      <w:marRight w:val="0"/>
      <w:marTop w:val="0"/>
      <w:marBottom w:val="0"/>
      <w:divBdr>
        <w:top w:val="none" w:sz="0" w:space="0" w:color="auto"/>
        <w:left w:val="none" w:sz="0" w:space="0" w:color="auto"/>
        <w:bottom w:val="none" w:sz="0" w:space="0" w:color="auto"/>
        <w:right w:val="none" w:sz="0" w:space="0" w:color="auto"/>
      </w:divBdr>
    </w:div>
    <w:div w:id="232399624">
      <w:bodyDiv w:val="1"/>
      <w:marLeft w:val="0"/>
      <w:marRight w:val="0"/>
      <w:marTop w:val="0"/>
      <w:marBottom w:val="0"/>
      <w:divBdr>
        <w:top w:val="none" w:sz="0" w:space="0" w:color="auto"/>
        <w:left w:val="none" w:sz="0" w:space="0" w:color="auto"/>
        <w:bottom w:val="none" w:sz="0" w:space="0" w:color="auto"/>
        <w:right w:val="none" w:sz="0" w:space="0" w:color="auto"/>
      </w:divBdr>
    </w:div>
    <w:div w:id="275332015">
      <w:bodyDiv w:val="1"/>
      <w:marLeft w:val="0"/>
      <w:marRight w:val="0"/>
      <w:marTop w:val="0"/>
      <w:marBottom w:val="0"/>
      <w:divBdr>
        <w:top w:val="none" w:sz="0" w:space="0" w:color="auto"/>
        <w:left w:val="none" w:sz="0" w:space="0" w:color="auto"/>
        <w:bottom w:val="none" w:sz="0" w:space="0" w:color="auto"/>
        <w:right w:val="none" w:sz="0" w:space="0" w:color="auto"/>
      </w:divBdr>
    </w:div>
    <w:div w:id="286594982">
      <w:bodyDiv w:val="1"/>
      <w:marLeft w:val="0"/>
      <w:marRight w:val="0"/>
      <w:marTop w:val="0"/>
      <w:marBottom w:val="0"/>
      <w:divBdr>
        <w:top w:val="none" w:sz="0" w:space="0" w:color="auto"/>
        <w:left w:val="none" w:sz="0" w:space="0" w:color="auto"/>
        <w:bottom w:val="none" w:sz="0" w:space="0" w:color="auto"/>
        <w:right w:val="none" w:sz="0" w:space="0" w:color="auto"/>
      </w:divBdr>
    </w:div>
    <w:div w:id="304046102">
      <w:bodyDiv w:val="1"/>
      <w:marLeft w:val="0"/>
      <w:marRight w:val="0"/>
      <w:marTop w:val="0"/>
      <w:marBottom w:val="0"/>
      <w:divBdr>
        <w:top w:val="none" w:sz="0" w:space="0" w:color="auto"/>
        <w:left w:val="none" w:sz="0" w:space="0" w:color="auto"/>
        <w:bottom w:val="none" w:sz="0" w:space="0" w:color="auto"/>
        <w:right w:val="none" w:sz="0" w:space="0" w:color="auto"/>
      </w:divBdr>
    </w:div>
    <w:div w:id="336663332">
      <w:bodyDiv w:val="1"/>
      <w:marLeft w:val="0"/>
      <w:marRight w:val="0"/>
      <w:marTop w:val="0"/>
      <w:marBottom w:val="0"/>
      <w:divBdr>
        <w:top w:val="none" w:sz="0" w:space="0" w:color="auto"/>
        <w:left w:val="none" w:sz="0" w:space="0" w:color="auto"/>
        <w:bottom w:val="none" w:sz="0" w:space="0" w:color="auto"/>
        <w:right w:val="none" w:sz="0" w:space="0" w:color="auto"/>
      </w:divBdr>
    </w:div>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379868222">
      <w:bodyDiv w:val="1"/>
      <w:marLeft w:val="0"/>
      <w:marRight w:val="0"/>
      <w:marTop w:val="0"/>
      <w:marBottom w:val="0"/>
      <w:divBdr>
        <w:top w:val="none" w:sz="0" w:space="0" w:color="auto"/>
        <w:left w:val="none" w:sz="0" w:space="0" w:color="auto"/>
        <w:bottom w:val="none" w:sz="0" w:space="0" w:color="auto"/>
        <w:right w:val="none" w:sz="0" w:space="0" w:color="auto"/>
      </w:divBdr>
    </w:div>
    <w:div w:id="439178233">
      <w:bodyDiv w:val="1"/>
      <w:marLeft w:val="0"/>
      <w:marRight w:val="0"/>
      <w:marTop w:val="0"/>
      <w:marBottom w:val="0"/>
      <w:divBdr>
        <w:top w:val="none" w:sz="0" w:space="0" w:color="auto"/>
        <w:left w:val="none" w:sz="0" w:space="0" w:color="auto"/>
        <w:bottom w:val="none" w:sz="0" w:space="0" w:color="auto"/>
        <w:right w:val="none" w:sz="0" w:space="0" w:color="auto"/>
      </w:divBdr>
    </w:div>
    <w:div w:id="451828919">
      <w:bodyDiv w:val="1"/>
      <w:marLeft w:val="0"/>
      <w:marRight w:val="0"/>
      <w:marTop w:val="0"/>
      <w:marBottom w:val="0"/>
      <w:divBdr>
        <w:top w:val="none" w:sz="0" w:space="0" w:color="auto"/>
        <w:left w:val="none" w:sz="0" w:space="0" w:color="auto"/>
        <w:bottom w:val="none" w:sz="0" w:space="0" w:color="auto"/>
        <w:right w:val="none" w:sz="0" w:space="0" w:color="auto"/>
      </w:divBdr>
    </w:div>
    <w:div w:id="482937049">
      <w:bodyDiv w:val="1"/>
      <w:marLeft w:val="0"/>
      <w:marRight w:val="0"/>
      <w:marTop w:val="0"/>
      <w:marBottom w:val="0"/>
      <w:divBdr>
        <w:top w:val="none" w:sz="0" w:space="0" w:color="auto"/>
        <w:left w:val="none" w:sz="0" w:space="0" w:color="auto"/>
        <w:bottom w:val="none" w:sz="0" w:space="0" w:color="auto"/>
        <w:right w:val="none" w:sz="0" w:space="0" w:color="auto"/>
      </w:divBdr>
    </w:div>
    <w:div w:id="505444225">
      <w:bodyDiv w:val="1"/>
      <w:marLeft w:val="0"/>
      <w:marRight w:val="0"/>
      <w:marTop w:val="0"/>
      <w:marBottom w:val="0"/>
      <w:divBdr>
        <w:top w:val="none" w:sz="0" w:space="0" w:color="auto"/>
        <w:left w:val="none" w:sz="0" w:space="0" w:color="auto"/>
        <w:bottom w:val="none" w:sz="0" w:space="0" w:color="auto"/>
        <w:right w:val="none" w:sz="0" w:space="0" w:color="auto"/>
      </w:divBdr>
    </w:div>
    <w:div w:id="518935616">
      <w:bodyDiv w:val="1"/>
      <w:marLeft w:val="0"/>
      <w:marRight w:val="0"/>
      <w:marTop w:val="0"/>
      <w:marBottom w:val="0"/>
      <w:divBdr>
        <w:top w:val="none" w:sz="0" w:space="0" w:color="auto"/>
        <w:left w:val="none" w:sz="0" w:space="0" w:color="auto"/>
        <w:bottom w:val="none" w:sz="0" w:space="0" w:color="auto"/>
        <w:right w:val="none" w:sz="0" w:space="0" w:color="auto"/>
      </w:divBdr>
    </w:div>
    <w:div w:id="547492316">
      <w:bodyDiv w:val="1"/>
      <w:marLeft w:val="0"/>
      <w:marRight w:val="0"/>
      <w:marTop w:val="0"/>
      <w:marBottom w:val="0"/>
      <w:divBdr>
        <w:top w:val="none" w:sz="0" w:space="0" w:color="auto"/>
        <w:left w:val="none" w:sz="0" w:space="0" w:color="auto"/>
        <w:bottom w:val="none" w:sz="0" w:space="0" w:color="auto"/>
        <w:right w:val="none" w:sz="0" w:space="0" w:color="auto"/>
      </w:divBdr>
    </w:div>
    <w:div w:id="558128645">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563417387">
      <w:bodyDiv w:val="1"/>
      <w:marLeft w:val="0"/>
      <w:marRight w:val="0"/>
      <w:marTop w:val="0"/>
      <w:marBottom w:val="0"/>
      <w:divBdr>
        <w:top w:val="none" w:sz="0" w:space="0" w:color="auto"/>
        <w:left w:val="none" w:sz="0" w:space="0" w:color="auto"/>
        <w:bottom w:val="none" w:sz="0" w:space="0" w:color="auto"/>
        <w:right w:val="none" w:sz="0" w:space="0" w:color="auto"/>
      </w:divBdr>
    </w:div>
    <w:div w:id="572275554">
      <w:bodyDiv w:val="1"/>
      <w:marLeft w:val="0"/>
      <w:marRight w:val="0"/>
      <w:marTop w:val="0"/>
      <w:marBottom w:val="0"/>
      <w:divBdr>
        <w:top w:val="none" w:sz="0" w:space="0" w:color="auto"/>
        <w:left w:val="none" w:sz="0" w:space="0" w:color="auto"/>
        <w:bottom w:val="none" w:sz="0" w:space="0" w:color="auto"/>
        <w:right w:val="none" w:sz="0" w:space="0" w:color="auto"/>
      </w:divBdr>
    </w:div>
    <w:div w:id="625429947">
      <w:bodyDiv w:val="1"/>
      <w:marLeft w:val="0"/>
      <w:marRight w:val="0"/>
      <w:marTop w:val="0"/>
      <w:marBottom w:val="0"/>
      <w:divBdr>
        <w:top w:val="none" w:sz="0" w:space="0" w:color="auto"/>
        <w:left w:val="none" w:sz="0" w:space="0" w:color="auto"/>
        <w:bottom w:val="none" w:sz="0" w:space="0" w:color="auto"/>
        <w:right w:val="none" w:sz="0" w:space="0" w:color="auto"/>
      </w:divBdr>
    </w:div>
    <w:div w:id="634986477">
      <w:bodyDiv w:val="1"/>
      <w:marLeft w:val="0"/>
      <w:marRight w:val="0"/>
      <w:marTop w:val="0"/>
      <w:marBottom w:val="0"/>
      <w:divBdr>
        <w:top w:val="none" w:sz="0" w:space="0" w:color="auto"/>
        <w:left w:val="none" w:sz="0" w:space="0" w:color="auto"/>
        <w:bottom w:val="none" w:sz="0" w:space="0" w:color="auto"/>
        <w:right w:val="none" w:sz="0" w:space="0" w:color="auto"/>
      </w:divBdr>
    </w:div>
    <w:div w:id="661741524">
      <w:bodyDiv w:val="1"/>
      <w:marLeft w:val="0"/>
      <w:marRight w:val="0"/>
      <w:marTop w:val="0"/>
      <w:marBottom w:val="0"/>
      <w:divBdr>
        <w:top w:val="none" w:sz="0" w:space="0" w:color="auto"/>
        <w:left w:val="none" w:sz="0" w:space="0" w:color="auto"/>
        <w:bottom w:val="none" w:sz="0" w:space="0" w:color="auto"/>
        <w:right w:val="none" w:sz="0" w:space="0" w:color="auto"/>
      </w:divBdr>
    </w:div>
    <w:div w:id="686715633">
      <w:bodyDiv w:val="1"/>
      <w:marLeft w:val="0"/>
      <w:marRight w:val="0"/>
      <w:marTop w:val="0"/>
      <w:marBottom w:val="0"/>
      <w:divBdr>
        <w:top w:val="none" w:sz="0" w:space="0" w:color="auto"/>
        <w:left w:val="none" w:sz="0" w:space="0" w:color="auto"/>
        <w:bottom w:val="none" w:sz="0" w:space="0" w:color="auto"/>
        <w:right w:val="none" w:sz="0" w:space="0" w:color="auto"/>
      </w:divBdr>
    </w:div>
    <w:div w:id="719600205">
      <w:bodyDiv w:val="1"/>
      <w:marLeft w:val="0"/>
      <w:marRight w:val="0"/>
      <w:marTop w:val="0"/>
      <w:marBottom w:val="0"/>
      <w:divBdr>
        <w:top w:val="none" w:sz="0" w:space="0" w:color="auto"/>
        <w:left w:val="none" w:sz="0" w:space="0" w:color="auto"/>
        <w:bottom w:val="none" w:sz="0" w:space="0" w:color="auto"/>
        <w:right w:val="none" w:sz="0" w:space="0" w:color="auto"/>
      </w:divBdr>
    </w:div>
    <w:div w:id="769812455">
      <w:bodyDiv w:val="1"/>
      <w:marLeft w:val="0"/>
      <w:marRight w:val="0"/>
      <w:marTop w:val="0"/>
      <w:marBottom w:val="0"/>
      <w:divBdr>
        <w:top w:val="none" w:sz="0" w:space="0" w:color="auto"/>
        <w:left w:val="none" w:sz="0" w:space="0" w:color="auto"/>
        <w:bottom w:val="none" w:sz="0" w:space="0" w:color="auto"/>
        <w:right w:val="none" w:sz="0" w:space="0" w:color="auto"/>
      </w:divBdr>
    </w:div>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906110494">
      <w:bodyDiv w:val="1"/>
      <w:marLeft w:val="0"/>
      <w:marRight w:val="0"/>
      <w:marTop w:val="0"/>
      <w:marBottom w:val="0"/>
      <w:divBdr>
        <w:top w:val="none" w:sz="0" w:space="0" w:color="auto"/>
        <w:left w:val="none" w:sz="0" w:space="0" w:color="auto"/>
        <w:bottom w:val="none" w:sz="0" w:space="0" w:color="auto"/>
        <w:right w:val="none" w:sz="0" w:space="0" w:color="auto"/>
      </w:divBdr>
    </w:div>
    <w:div w:id="906111977">
      <w:bodyDiv w:val="1"/>
      <w:marLeft w:val="0"/>
      <w:marRight w:val="0"/>
      <w:marTop w:val="0"/>
      <w:marBottom w:val="0"/>
      <w:divBdr>
        <w:top w:val="none" w:sz="0" w:space="0" w:color="auto"/>
        <w:left w:val="none" w:sz="0" w:space="0" w:color="auto"/>
        <w:bottom w:val="none" w:sz="0" w:space="0" w:color="auto"/>
        <w:right w:val="none" w:sz="0" w:space="0" w:color="auto"/>
      </w:divBdr>
    </w:div>
    <w:div w:id="912813528">
      <w:bodyDiv w:val="1"/>
      <w:marLeft w:val="0"/>
      <w:marRight w:val="0"/>
      <w:marTop w:val="0"/>
      <w:marBottom w:val="0"/>
      <w:divBdr>
        <w:top w:val="none" w:sz="0" w:space="0" w:color="auto"/>
        <w:left w:val="none" w:sz="0" w:space="0" w:color="auto"/>
        <w:bottom w:val="none" w:sz="0" w:space="0" w:color="auto"/>
        <w:right w:val="none" w:sz="0" w:space="0" w:color="auto"/>
      </w:divBdr>
    </w:div>
    <w:div w:id="913128734">
      <w:bodyDiv w:val="1"/>
      <w:marLeft w:val="0"/>
      <w:marRight w:val="0"/>
      <w:marTop w:val="0"/>
      <w:marBottom w:val="0"/>
      <w:divBdr>
        <w:top w:val="none" w:sz="0" w:space="0" w:color="auto"/>
        <w:left w:val="none" w:sz="0" w:space="0" w:color="auto"/>
        <w:bottom w:val="none" w:sz="0" w:space="0" w:color="auto"/>
        <w:right w:val="none" w:sz="0" w:space="0" w:color="auto"/>
      </w:divBdr>
    </w:div>
    <w:div w:id="963659864">
      <w:bodyDiv w:val="1"/>
      <w:marLeft w:val="0"/>
      <w:marRight w:val="0"/>
      <w:marTop w:val="0"/>
      <w:marBottom w:val="0"/>
      <w:divBdr>
        <w:top w:val="none" w:sz="0" w:space="0" w:color="auto"/>
        <w:left w:val="none" w:sz="0" w:space="0" w:color="auto"/>
        <w:bottom w:val="none" w:sz="0" w:space="0" w:color="auto"/>
        <w:right w:val="none" w:sz="0" w:space="0" w:color="auto"/>
      </w:divBdr>
    </w:div>
    <w:div w:id="979460098">
      <w:bodyDiv w:val="1"/>
      <w:marLeft w:val="0"/>
      <w:marRight w:val="0"/>
      <w:marTop w:val="0"/>
      <w:marBottom w:val="0"/>
      <w:divBdr>
        <w:top w:val="none" w:sz="0" w:space="0" w:color="auto"/>
        <w:left w:val="none" w:sz="0" w:space="0" w:color="auto"/>
        <w:bottom w:val="none" w:sz="0" w:space="0" w:color="auto"/>
        <w:right w:val="none" w:sz="0" w:space="0" w:color="auto"/>
      </w:divBdr>
    </w:div>
    <w:div w:id="1026637740">
      <w:bodyDiv w:val="1"/>
      <w:marLeft w:val="0"/>
      <w:marRight w:val="0"/>
      <w:marTop w:val="0"/>
      <w:marBottom w:val="0"/>
      <w:divBdr>
        <w:top w:val="none" w:sz="0" w:space="0" w:color="auto"/>
        <w:left w:val="none" w:sz="0" w:space="0" w:color="auto"/>
        <w:bottom w:val="none" w:sz="0" w:space="0" w:color="auto"/>
        <w:right w:val="none" w:sz="0" w:space="0" w:color="auto"/>
      </w:divBdr>
    </w:div>
    <w:div w:id="1058288999">
      <w:bodyDiv w:val="1"/>
      <w:marLeft w:val="0"/>
      <w:marRight w:val="0"/>
      <w:marTop w:val="0"/>
      <w:marBottom w:val="0"/>
      <w:divBdr>
        <w:top w:val="none" w:sz="0" w:space="0" w:color="auto"/>
        <w:left w:val="none" w:sz="0" w:space="0" w:color="auto"/>
        <w:bottom w:val="none" w:sz="0" w:space="0" w:color="auto"/>
        <w:right w:val="none" w:sz="0" w:space="0" w:color="auto"/>
      </w:divBdr>
    </w:div>
    <w:div w:id="1089765300">
      <w:bodyDiv w:val="1"/>
      <w:marLeft w:val="0"/>
      <w:marRight w:val="0"/>
      <w:marTop w:val="0"/>
      <w:marBottom w:val="0"/>
      <w:divBdr>
        <w:top w:val="none" w:sz="0" w:space="0" w:color="auto"/>
        <w:left w:val="none" w:sz="0" w:space="0" w:color="auto"/>
        <w:bottom w:val="none" w:sz="0" w:space="0" w:color="auto"/>
        <w:right w:val="none" w:sz="0" w:space="0" w:color="auto"/>
      </w:divBdr>
    </w:div>
    <w:div w:id="1124882068">
      <w:bodyDiv w:val="1"/>
      <w:marLeft w:val="0"/>
      <w:marRight w:val="0"/>
      <w:marTop w:val="0"/>
      <w:marBottom w:val="0"/>
      <w:divBdr>
        <w:top w:val="none" w:sz="0" w:space="0" w:color="auto"/>
        <w:left w:val="none" w:sz="0" w:space="0" w:color="auto"/>
        <w:bottom w:val="none" w:sz="0" w:space="0" w:color="auto"/>
        <w:right w:val="none" w:sz="0" w:space="0" w:color="auto"/>
      </w:divBdr>
    </w:div>
    <w:div w:id="1140341084">
      <w:bodyDiv w:val="1"/>
      <w:marLeft w:val="0"/>
      <w:marRight w:val="0"/>
      <w:marTop w:val="0"/>
      <w:marBottom w:val="0"/>
      <w:divBdr>
        <w:top w:val="none" w:sz="0" w:space="0" w:color="auto"/>
        <w:left w:val="none" w:sz="0" w:space="0" w:color="auto"/>
        <w:bottom w:val="none" w:sz="0" w:space="0" w:color="auto"/>
        <w:right w:val="none" w:sz="0" w:space="0" w:color="auto"/>
      </w:divBdr>
    </w:div>
    <w:div w:id="1190951667">
      <w:bodyDiv w:val="1"/>
      <w:marLeft w:val="0"/>
      <w:marRight w:val="0"/>
      <w:marTop w:val="0"/>
      <w:marBottom w:val="0"/>
      <w:divBdr>
        <w:top w:val="none" w:sz="0" w:space="0" w:color="auto"/>
        <w:left w:val="none" w:sz="0" w:space="0" w:color="auto"/>
        <w:bottom w:val="none" w:sz="0" w:space="0" w:color="auto"/>
        <w:right w:val="none" w:sz="0" w:space="0" w:color="auto"/>
      </w:divBdr>
    </w:div>
    <w:div w:id="1213889260">
      <w:bodyDiv w:val="1"/>
      <w:marLeft w:val="0"/>
      <w:marRight w:val="0"/>
      <w:marTop w:val="0"/>
      <w:marBottom w:val="0"/>
      <w:divBdr>
        <w:top w:val="none" w:sz="0" w:space="0" w:color="auto"/>
        <w:left w:val="none" w:sz="0" w:space="0" w:color="auto"/>
        <w:bottom w:val="none" w:sz="0" w:space="0" w:color="auto"/>
        <w:right w:val="none" w:sz="0" w:space="0" w:color="auto"/>
      </w:divBdr>
    </w:div>
    <w:div w:id="1309675008">
      <w:bodyDiv w:val="1"/>
      <w:marLeft w:val="0"/>
      <w:marRight w:val="0"/>
      <w:marTop w:val="0"/>
      <w:marBottom w:val="0"/>
      <w:divBdr>
        <w:top w:val="none" w:sz="0" w:space="0" w:color="auto"/>
        <w:left w:val="none" w:sz="0" w:space="0" w:color="auto"/>
        <w:bottom w:val="none" w:sz="0" w:space="0" w:color="auto"/>
        <w:right w:val="none" w:sz="0" w:space="0" w:color="auto"/>
      </w:divBdr>
    </w:div>
    <w:div w:id="1328905349">
      <w:bodyDiv w:val="1"/>
      <w:marLeft w:val="0"/>
      <w:marRight w:val="0"/>
      <w:marTop w:val="0"/>
      <w:marBottom w:val="0"/>
      <w:divBdr>
        <w:top w:val="none" w:sz="0" w:space="0" w:color="auto"/>
        <w:left w:val="none" w:sz="0" w:space="0" w:color="auto"/>
        <w:bottom w:val="none" w:sz="0" w:space="0" w:color="auto"/>
        <w:right w:val="none" w:sz="0" w:space="0" w:color="auto"/>
      </w:divBdr>
    </w:div>
    <w:div w:id="1331561226">
      <w:bodyDiv w:val="1"/>
      <w:marLeft w:val="0"/>
      <w:marRight w:val="0"/>
      <w:marTop w:val="0"/>
      <w:marBottom w:val="0"/>
      <w:divBdr>
        <w:top w:val="none" w:sz="0" w:space="0" w:color="auto"/>
        <w:left w:val="none" w:sz="0" w:space="0" w:color="auto"/>
        <w:bottom w:val="none" w:sz="0" w:space="0" w:color="auto"/>
        <w:right w:val="none" w:sz="0" w:space="0" w:color="auto"/>
      </w:divBdr>
    </w:div>
    <w:div w:id="1337031270">
      <w:bodyDiv w:val="1"/>
      <w:marLeft w:val="0"/>
      <w:marRight w:val="0"/>
      <w:marTop w:val="0"/>
      <w:marBottom w:val="0"/>
      <w:divBdr>
        <w:top w:val="none" w:sz="0" w:space="0" w:color="auto"/>
        <w:left w:val="none" w:sz="0" w:space="0" w:color="auto"/>
        <w:bottom w:val="none" w:sz="0" w:space="0" w:color="auto"/>
        <w:right w:val="none" w:sz="0" w:space="0" w:color="auto"/>
      </w:divBdr>
    </w:div>
    <w:div w:id="1338921246">
      <w:bodyDiv w:val="1"/>
      <w:marLeft w:val="0"/>
      <w:marRight w:val="0"/>
      <w:marTop w:val="0"/>
      <w:marBottom w:val="0"/>
      <w:divBdr>
        <w:top w:val="none" w:sz="0" w:space="0" w:color="auto"/>
        <w:left w:val="none" w:sz="0" w:space="0" w:color="auto"/>
        <w:bottom w:val="none" w:sz="0" w:space="0" w:color="auto"/>
        <w:right w:val="none" w:sz="0" w:space="0" w:color="auto"/>
      </w:divBdr>
    </w:div>
    <w:div w:id="1441802578">
      <w:bodyDiv w:val="1"/>
      <w:marLeft w:val="0"/>
      <w:marRight w:val="0"/>
      <w:marTop w:val="0"/>
      <w:marBottom w:val="0"/>
      <w:divBdr>
        <w:top w:val="none" w:sz="0" w:space="0" w:color="auto"/>
        <w:left w:val="none" w:sz="0" w:space="0" w:color="auto"/>
        <w:bottom w:val="none" w:sz="0" w:space="0" w:color="auto"/>
        <w:right w:val="none" w:sz="0" w:space="0" w:color="auto"/>
      </w:divBdr>
    </w:div>
    <w:div w:id="1467818541">
      <w:bodyDiv w:val="1"/>
      <w:marLeft w:val="0"/>
      <w:marRight w:val="0"/>
      <w:marTop w:val="0"/>
      <w:marBottom w:val="0"/>
      <w:divBdr>
        <w:top w:val="none" w:sz="0" w:space="0" w:color="auto"/>
        <w:left w:val="none" w:sz="0" w:space="0" w:color="auto"/>
        <w:bottom w:val="none" w:sz="0" w:space="0" w:color="auto"/>
        <w:right w:val="none" w:sz="0" w:space="0" w:color="auto"/>
      </w:divBdr>
    </w:div>
    <w:div w:id="1476024605">
      <w:bodyDiv w:val="1"/>
      <w:marLeft w:val="0"/>
      <w:marRight w:val="0"/>
      <w:marTop w:val="0"/>
      <w:marBottom w:val="0"/>
      <w:divBdr>
        <w:top w:val="none" w:sz="0" w:space="0" w:color="auto"/>
        <w:left w:val="none" w:sz="0" w:space="0" w:color="auto"/>
        <w:bottom w:val="none" w:sz="0" w:space="0" w:color="auto"/>
        <w:right w:val="none" w:sz="0" w:space="0" w:color="auto"/>
      </w:divBdr>
    </w:div>
    <w:div w:id="1507741708">
      <w:bodyDiv w:val="1"/>
      <w:marLeft w:val="0"/>
      <w:marRight w:val="0"/>
      <w:marTop w:val="0"/>
      <w:marBottom w:val="0"/>
      <w:divBdr>
        <w:top w:val="none" w:sz="0" w:space="0" w:color="auto"/>
        <w:left w:val="none" w:sz="0" w:space="0" w:color="auto"/>
        <w:bottom w:val="none" w:sz="0" w:space="0" w:color="auto"/>
        <w:right w:val="none" w:sz="0" w:space="0" w:color="auto"/>
      </w:divBdr>
    </w:div>
    <w:div w:id="1537038963">
      <w:bodyDiv w:val="1"/>
      <w:marLeft w:val="0"/>
      <w:marRight w:val="0"/>
      <w:marTop w:val="0"/>
      <w:marBottom w:val="0"/>
      <w:divBdr>
        <w:top w:val="none" w:sz="0" w:space="0" w:color="auto"/>
        <w:left w:val="none" w:sz="0" w:space="0" w:color="auto"/>
        <w:bottom w:val="none" w:sz="0" w:space="0" w:color="auto"/>
        <w:right w:val="none" w:sz="0" w:space="0" w:color="auto"/>
      </w:divBdr>
    </w:div>
    <w:div w:id="1544177353">
      <w:bodyDiv w:val="1"/>
      <w:marLeft w:val="0"/>
      <w:marRight w:val="0"/>
      <w:marTop w:val="0"/>
      <w:marBottom w:val="0"/>
      <w:divBdr>
        <w:top w:val="none" w:sz="0" w:space="0" w:color="auto"/>
        <w:left w:val="none" w:sz="0" w:space="0" w:color="auto"/>
        <w:bottom w:val="none" w:sz="0" w:space="0" w:color="auto"/>
        <w:right w:val="none" w:sz="0" w:space="0" w:color="auto"/>
      </w:divBdr>
    </w:div>
    <w:div w:id="1607343994">
      <w:bodyDiv w:val="1"/>
      <w:marLeft w:val="0"/>
      <w:marRight w:val="0"/>
      <w:marTop w:val="0"/>
      <w:marBottom w:val="0"/>
      <w:divBdr>
        <w:top w:val="none" w:sz="0" w:space="0" w:color="auto"/>
        <w:left w:val="none" w:sz="0" w:space="0" w:color="auto"/>
        <w:bottom w:val="none" w:sz="0" w:space="0" w:color="auto"/>
        <w:right w:val="none" w:sz="0" w:space="0" w:color="auto"/>
      </w:divBdr>
    </w:div>
    <w:div w:id="1809201971">
      <w:bodyDiv w:val="1"/>
      <w:marLeft w:val="0"/>
      <w:marRight w:val="0"/>
      <w:marTop w:val="0"/>
      <w:marBottom w:val="0"/>
      <w:divBdr>
        <w:top w:val="none" w:sz="0" w:space="0" w:color="auto"/>
        <w:left w:val="none" w:sz="0" w:space="0" w:color="auto"/>
        <w:bottom w:val="none" w:sz="0" w:space="0" w:color="auto"/>
        <w:right w:val="none" w:sz="0" w:space="0" w:color="auto"/>
      </w:divBdr>
    </w:div>
    <w:div w:id="1858234701">
      <w:bodyDiv w:val="1"/>
      <w:marLeft w:val="0"/>
      <w:marRight w:val="0"/>
      <w:marTop w:val="0"/>
      <w:marBottom w:val="0"/>
      <w:divBdr>
        <w:top w:val="none" w:sz="0" w:space="0" w:color="auto"/>
        <w:left w:val="none" w:sz="0" w:space="0" w:color="auto"/>
        <w:bottom w:val="none" w:sz="0" w:space="0" w:color="auto"/>
        <w:right w:val="none" w:sz="0" w:space="0" w:color="auto"/>
      </w:divBdr>
    </w:div>
    <w:div w:id="1873683453">
      <w:bodyDiv w:val="1"/>
      <w:marLeft w:val="0"/>
      <w:marRight w:val="0"/>
      <w:marTop w:val="0"/>
      <w:marBottom w:val="0"/>
      <w:divBdr>
        <w:top w:val="none" w:sz="0" w:space="0" w:color="auto"/>
        <w:left w:val="none" w:sz="0" w:space="0" w:color="auto"/>
        <w:bottom w:val="none" w:sz="0" w:space="0" w:color="auto"/>
        <w:right w:val="none" w:sz="0" w:space="0" w:color="auto"/>
      </w:divBdr>
    </w:div>
    <w:div w:id="1896694658">
      <w:bodyDiv w:val="1"/>
      <w:marLeft w:val="0"/>
      <w:marRight w:val="0"/>
      <w:marTop w:val="0"/>
      <w:marBottom w:val="0"/>
      <w:divBdr>
        <w:top w:val="none" w:sz="0" w:space="0" w:color="auto"/>
        <w:left w:val="none" w:sz="0" w:space="0" w:color="auto"/>
        <w:bottom w:val="none" w:sz="0" w:space="0" w:color="auto"/>
        <w:right w:val="none" w:sz="0" w:space="0" w:color="auto"/>
      </w:divBdr>
    </w:div>
    <w:div w:id="1901550677">
      <w:bodyDiv w:val="1"/>
      <w:marLeft w:val="0"/>
      <w:marRight w:val="0"/>
      <w:marTop w:val="0"/>
      <w:marBottom w:val="0"/>
      <w:divBdr>
        <w:top w:val="none" w:sz="0" w:space="0" w:color="auto"/>
        <w:left w:val="none" w:sz="0" w:space="0" w:color="auto"/>
        <w:bottom w:val="none" w:sz="0" w:space="0" w:color="auto"/>
        <w:right w:val="none" w:sz="0" w:space="0" w:color="auto"/>
      </w:divBdr>
    </w:div>
    <w:div w:id="1911231933">
      <w:bodyDiv w:val="1"/>
      <w:marLeft w:val="0"/>
      <w:marRight w:val="0"/>
      <w:marTop w:val="0"/>
      <w:marBottom w:val="0"/>
      <w:divBdr>
        <w:top w:val="none" w:sz="0" w:space="0" w:color="auto"/>
        <w:left w:val="none" w:sz="0" w:space="0" w:color="auto"/>
        <w:bottom w:val="none" w:sz="0" w:space="0" w:color="auto"/>
        <w:right w:val="none" w:sz="0" w:space="0" w:color="auto"/>
      </w:divBdr>
    </w:div>
    <w:div w:id="1932465618">
      <w:bodyDiv w:val="1"/>
      <w:marLeft w:val="0"/>
      <w:marRight w:val="0"/>
      <w:marTop w:val="0"/>
      <w:marBottom w:val="0"/>
      <w:divBdr>
        <w:top w:val="none" w:sz="0" w:space="0" w:color="auto"/>
        <w:left w:val="none" w:sz="0" w:space="0" w:color="auto"/>
        <w:bottom w:val="none" w:sz="0" w:space="0" w:color="auto"/>
        <w:right w:val="none" w:sz="0" w:space="0" w:color="auto"/>
      </w:divBdr>
    </w:div>
    <w:div w:id="1935699759">
      <w:bodyDiv w:val="1"/>
      <w:marLeft w:val="0"/>
      <w:marRight w:val="0"/>
      <w:marTop w:val="0"/>
      <w:marBottom w:val="0"/>
      <w:divBdr>
        <w:top w:val="none" w:sz="0" w:space="0" w:color="auto"/>
        <w:left w:val="none" w:sz="0" w:space="0" w:color="auto"/>
        <w:bottom w:val="none" w:sz="0" w:space="0" w:color="auto"/>
        <w:right w:val="none" w:sz="0" w:space="0" w:color="auto"/>
      </w:divBdr>
    </w:div>
    <w:div w:id="1940142880">
      <w:bodyDiv w:val="1"/>
      <w:marLeft w:val="0"/>
      <w:marRight w:val="0"/>
      <w:marTop w:val="0"/>
      <w:marBottom w:val="0"/>
      <w:divBdr>
        <w:top w:val="none" w:sz="0" w:space="0" w:color="auto"/>
        <w:left w:val="none" w:sz="0" w:space="0" w:color="auto"/>
        <w:bottom w:val="none" w:sz="0" w:space="0" w:color="auto"/>
        <w:right w:val="none" w:sz="0" w:space="0" w:color="auto"/>
      </w:divBdr>
    </w:div>
    <w:div w:id="1969507455">
      <w:bodyDiv w:val="1"/>
      <w:marLeft w:val="0"/>
      <w:marRight w:val="0"/>
      <w:marTop w:val="0"/>
      <w:marBottom w:val="0"/>
      <w:divBdr>
        <w:top w:val="none" w:sz="0" w:space="0" w:color="auto"/>
        <w:left w:val="none" w:sz="0" w:space="0" w:color="auto"/>
        <w:bottom w:val="none" w:sz="0" w:space="0" w:color="auto"/>
        <w:right w:val="none" w:sz="0" w:space="0" w:color="auto"/>
      </w:divBdr>
    </w:div>
    <w:div w:id="1987002707">
      <w:bodyDiv w:val="1"/>
      <w:marLeft w:val="0"/>
      <w:marRight w:val="0"/>
      <w:marTop w:val="0"/>
      <w:marBottom w:val="0"/>
      <w:divBdr>
        <w:top w:val="none" w:sz="0" w:space="0" w:color="auto"/>
        <w:left w:val="none" w:sz="0" w:space="0" w:color="auto"/>
        <w:bottom w:val="none" w:sz="0" w:space="0" w:color="auto"/>
        <w:right w:val="none" w:sz="0" w:space="0" w:color="auto"/>
      </w:divBdr>
    </w:div>
    <w:div w:id="2082605061">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ENDIAS@luton.gov.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ORPORATE\educate\L&amp;A\Working%20files%20-%20reorganisation\Services%20-%20SENDIAS\2023\DATA\Facebook%20&amp;%20Instagram\Facebook%20and%20Instagram%20Annual%20Data%20-%2020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baseline="0"/>
              <a:t>SENDIAS 2023 Quarter 3 Website Translations</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'Q3 Data 2023'!$R$3</c:f>
              <c:strCache>
                <c:ptCount val="1"/>
                <c:pt idx="0">
                  <c:v>Translated %</c:v>
                </c:pt>
              </c:strCache>
            </c:strRef>
          </c:tx>
          <c:dPt>
            <c:idx val="0"/>
            <c:bubble3D val="0"/>
            <c:spPr>
              <a:solidFill>
                <a:srgbClr val="FF00FF"/>
              </a:solidFill>
              <a:ln w="19050">
                <a:solidFill>
                  <a:schemeClr val="lt1"/>
                </a:solidFill>
              </a:ln>
              <a:effectLst/>
            </c:spPr>
            <c:extLst>
              <c:ext xmlns:c16="http://schemas.microsoft.com/office/drawing/2014/chart" uri="{C3380CC4-5D6E-409C-BE32-E72D297353CC}">
                <c16:uniqueId val="{00000001-9FF9-40DD-9B79-CC12D78BBA40}"/>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FF9-40DD-9B79-CC12D78BBA4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'Q3 Data 2023'!$Q$4</c:f>
              <c:strCache>
                <c:ptCount val="1"/>
                <c:pt idx="0">
                  <c:v>Swahili</c:v>
                </c:pt>
              </c:strCache>
            </c:strRef>
          </c:cat>
          <c:val>
            <c:numRef>
              <c:f>'Q3 Data 2023'!$R$4</c:f>
              <c:numCache>
                <c:formatCode>0%</c:formatCode>
                <c:ptCount val="1"/>
                <c:pt idx="0">
                  <c:v>1</c:v>
                </c:pt>
              </c:numCache>
            </c:numRef>
          </c:val>
          <c:extLst>
            <c:ext xmlns:c16="http://schemas.microsoft.com/office/drawing/2014/chart" uri="{C3380CC4-5D6E-409C-BE32-E72D297353CC}">
              <c16:uniqueId val="{00000002-9FF9-40DD-9B79-CC12D78BBA4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SENDIAS Service</a:t>
            </a:r>
            <a:r>
              <a:rPr lang="en-US" b="1" baseline="0"/>
              <a:t> Facebook 2023 Q3 Total Reach</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'Q3 Data FB &amp; IG'!$B$20</c:f>
              <c:strCache>
                <c:ptCount val="1"/>
                <c:pt idx="0">
                  <c:v>Total Reach</c:v>
                </c:pt>
              </c:strCache>
            </c:strRef>
          </c:tx>
          <c:spPr>
            <a:solidFill>
              <a:schemeClr val="accent1"/>
            </a:solidFill>
            <a:ln>
              <a:noFill/>
            </a:ln>
            <a:effectLst/>
          </c:spPr>
          <c:invertIfNegative val="0"/>
          <c:dPt>
            <c:idx val="0"/>
            <c:invertIfNegative val="0"/>
            <c:bubble3D val="0"/>
            <c:spPr>
              <a:solidFill>
                <a:srgbClr val="FF00FF"/>
              </a:solidFill>
              <a:ln>
                <a:noFill/>
              </a:ln>
              <a:effectLst/>
            </c:spPr>
            <c:extLst>
              <c:ext xmlns:c16="http://schemas.microsoft.com/office/drawing/2014/chart" uri="{C3380CC4-5D6E-409C-BE32-E72D297353CC}">
                <c16:uniqueId val="{00000001-2A79-420E-AE0B-A084EEFAA11D}"/>
              </c:ext>
            </c:extLst>
          </c:dPt>
          <c:dPt>
            <c:idx val="1"/>
            <c:invertIfNegative val="0"/>
            <c:bubble3D val="0"/>
            <c:spPr>
              <a:solidFill>
                <a:srgbClr val="FFC000"/>
              </a:solidFill>
              <a:ln>
                <a:noFill/>
              </a:ln>
              <a:effectLst/>
            </c:spPr>
            <c:extLst>
              <c:ext xmlns:c16="http://schemas.microsoft.com/office/drawing/2014/chart" uri="{C3380CC4-5D6E-409C-BE32-E72D297353CC}">
                <c16:uniqueId val="{00000003-2A79-420E-AE0B-A084EEFAA11D}"/>
              </c:ext>
            </c:extLst>
          </c:dPt>
          <c:dPt>
            <c:idx val="2"/>
            <c:invertIfNegative val="0"/>
            <c:bubble3D val="0"/>
            <c:spPr>
              <a:solidFill>
                <a:srgbClr val="CC00CC"/>
              </a:solidFill>
              <a:ln>
                <a:noFill/>
              </a:ln>
              <a:effectLst/>
            </c:spPr>
            <c:extLst>
              <c:ext xmlns:c16="http://schemas.microsoft.com/office/drawing/2014/chart" uri="{C3380CC4-5D6E-409C-BE32-E72D297353CC}">
                <c16:uniqueId val="{00000005-2A79-420E-AE0B-A084EEFAA1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 Data FB &amp; IG'!$A$21:$A$23</c:f>
              <c:strCache>
                <c:ptCount val="3"/>
                <c:pt idx="0">
                  <c:v>July</c:v>
                </c:pt>
                <c:pt idx="1">
                  <c:v>August</c:v>
                </c:pt>
                <c:pt idx="2">
                  <c:v>September</c:v>
                </c:pt>
              </c:strCache>
            </c:strRef>
          </c:cat>
          <c:val>
            <c:numRef>
              <c:f>'Q3 Data FB &amp; IG'!$B$21:$B$23</c:f>
              <c:numCache>
                <c:formatCode>General</c:formatCode>
                <c:ptCount val="3"/>
                <c:pt idx="0">
                  <c:v>429</c:v>
                </c:pt>
                <c:pt idx="1">
                  <c:v>1119</c:v>
                </c:pt>
                <c:pt idx="2">
                  <c:v>494</c:v>
                </c:pt>
              </c:numCache>
            </c:numRef>
          </c:val>
          <c:extLst>
            <c:ext xmlns:c16="http://schemas.microsoft.com/office/drawing/2014/chart" uri="{C3380CC4-5D6E-409C-BE32-E72D297353CC}">
              <c16:uniqueId val="{00000006-2A79-420E-AE0B-A084EEFAA11D}"/>
            </c:ext>
          </c:extLst>
        </c:ser>
        <c:dLbls>
          <c:showLegendKey val="0"/>
          <c:showVal val="0"/>
          <c:showCatName val="0"/>
          <c:showSerName val="0"/>
          <c:showPercent val="0"/>
          <c:showBubbleSize val="0"/>
        </c:dLbls>
        <c:gapWidth val="219"/>
        <c:overlap val="-27"/>
        <c:axId val="443340912"/>
        <c:axId val="443341896"/>
      </c:barChart>
      <c:catAx>
        <c:axId val="44334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341896"/>
        <c:crosses val="autoZero"/>
        <c:auto val="1"/>
        <c:lblAlgn val="ctr"/>
        <c:lblOffset val="100"/>
        <c:noMultiLvlLbl val="0"/>
      </c:catAx>
      <c:valAx>
        <c:axId val="443341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Total</a:t>
                </a:r>
                <a:r>
                  <a:rPr lang="en-GB" baseline="0"/>
                  <a:t> Reach</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34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4" ma:contentTypeDescription="Create a new document." ma:contentTypeScope="" ma:versionID="5c1fd3230abba7b791d986789367b423">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47827ab15482d3ae3885202f93a26711"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D686B35D-8D2E-4DD0-BD7F-78ACE204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2FA68-ECC4-4FFE-A568-94C48D368648}">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a291b5f6-5917-44a7-a133-26292ac86406"/>
    <ds:schemaRef ds:uri="9fa1f539-d261-473d-86aa-dae3b48d02fa"/>
    <ds:schemaRef ds:uri="9dbef5a1-880f-460f-a15c-3b34c2fd2e3f"/>
    <ds:schemaRef ds:uri="http://www.w3.org/XML/1998/namespace"/>
    <ds:schemaRef ds:uri="http://purl.org/dc/dcmitype/"/>
  </ds:schemaRefs>
</ds:datastoreItem>
</file>

<file path=customXml/itemProps4.xml><?xml version="1.0" encoding="utf-8"?>
<ds:datastoreItem xmlns:ds="http://schemas.openxmlformats.org/officeDocument/2006/customXml" ds:itemID="{C3FFBA15-C8A9-42CB-9EAF-09E1CB92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2522</Words>
  <Characters>14381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Accessing planning information online</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planning information online</dc:title>
  <dc:subject/>
  <dc:creator>Nova.Constable@luton.gov.uk</dc:creator>
  <cp:keywords/>
  <dc:description/>
  <cp:lastModifiedBy>Siddique, Israr</cp:lastModifiedBy>
  <cp:revision>2</cp:revision>
  <cp:lastPrinted>2020-09-14T10:52:00Z</cp:lastPrinted>
  <dcterms:created xsi:type="dcterms:W3CDTF">2024-02-06T13:34:00Z</dcterms:created>
  <dcterms:modified xsi:type="dcterms:W3CDTF">2024-02-06T13:34:00Z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