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DB65" w14:textId="77777777" w:rsidR="00A85CAE" w:rsidRDefault="00A85CAE" w:rsidP="00A85CAE">
      <w:pPr>
        <w:tabs>
          <w:tab w:val="center" w:pos="2049"/>
        </w:tabs>
        <w:ind w:left="120" w:right="2431"/>
        <w:jc w:val="center"/>
        <w:rPr>
          <w:b/>
          <w:bCs/>
          <w:sz w:val="24"/>
          <w:szCs w:val="24"/>
        </w:rPr>
      </w:pPr>
    </w:p>
    <w:p w14:paraId="4C41CDEA" w14:textId="31DDA96F" w:rsidR="000D5417" w:rsidRPr="00A85CAE" w:rsidRDefault="000D5417" w:rsidP="008C46FE">
      <w:pPr>
        <w:tabs>
          <w:tab w:val="center" w:pos="2049"/>
        </w:tabs>
        <w:ind w:left="120" w:right="2431"/>
        <w:jc w:val="center"/>
        <w:rPr>
          <w:b/>
          <w:bCs/>
          <w:sz w:val="32"/>
          <w:szCs w:val="32"/>
        </w:rPr>
      </w:pPr>
      <w:r w:rsidRPr="00A85CAE">
        <w:rPr>
          <w:b/>
          <w:bCs/>
          <w:sz w:val="32"/>
          <w:szCs w:val="32"/>
        </w:rPr>
        <w:t>Safeguarding Children and Young People</w:t>
      </w:r>
    </w:p>
    <w:p w14:paraId="1F2A7F46" w14:textId="77777777" w:rsidR="00A85CAE" w:rsidRPr="00A85CAE" w:rsidRDefault="00A85CAE" w:rsidP="00A85CAE">
      <w:pPr>
        <w:tabs>
          <w:tab w:val="center" w:pos="2049"/>
        </w:tabs>
        <w:ind w:left="120" w:right="2431"/>
        <w:jc w:val="center"/>
        <w:rPr>
          <w:b/>
          <w:bCs/>
          <w:sz w:val="24"/>
          <w:szCs w:val="24"/>
        </w:rPr>
      </w:pPr>
    </w:p>
    <w:p w14:paraId="13857169" w14:textId="77777777" w:rsidR="000D5417" w:rsidRPr="00A85CAE" w:rsidRDefault="000D5417" w:rsidP="00A85CAE">
      <w:pPr>
        <w:pStyle w:val="Heading3"/>
      </w:pPr>
      <w:bookmarkStart w:id="0" w:name="Regulations_and_Standards"/>
      <w:bookmarkEnd w:id="0"/>
      <w:r w:rsidRPr="00A85CAE">
        <w:t>Regulations and Standards</w:t>
      </w:r>
    </w:p>
    <w:p w14:paraId="015C961A" w14:textId="77777777" w:rsidR="000D5417" w:rsidRPr="00A85CAE" w:rsidRDefault="000D5417" w:rsidP="00A85CAE">
      <w:pPr>
        <w:pStyle w:val="BodyText"/>
        <w:rPr>
          <w:b/>
        </w:rPr>
      </w:pPr>
    </w:p>
    <w:p w14:paraId="57F70576" w14:textId="77777777" w:rsidR="000D5417" w:rsidRPr="00A85CAE" w:rsidRDefault="000D5417" w:rsidP="00A85CAE">
      <w:pPr>
        <w:pStyle w:val="BodyText"/>
        <w:ind w:left="120"/>
        <w:rPr>
          <w:b/>
          <w:bCs/>
        </w:rPr>
      </w:pPr>
      <w:r w:rsidRPr="00A85CAE">
        <w:rPr>
          <w:b/>
          <w:bCs/>
        </w:rPr>
        <w:t>The Fostering Services (England) Regulations 2011:</w:t>
      </w:r>
    </w:p>
    <w:p w14:paraId="2ABF731D" w14:textId="77777777" w:rsidR="000D5417" w:rsidRPr="00A85CAE" w:rsidRDefault="00C54C67" w:rsidP="00A85CAE">
      <w:pPr>
        <w:pStyle w:val="BodyText"/>
        <w:ind w:left="120"/>
      </w:pPr>
      <w:hyperlink r:id="rId7">
        <w:r w:rsidR="000D5417" w:rsidRPr="00A85CAE">
          <w:rPr>
            <w:color w:val="007AB9"/>
          </w:rPr>
          <w:t>Regulation 11 - Independent fostering agencies—duty to secure welfare</w:t>
        </w:r>
      </w:hyperlink>
    </w:p>
    <w:p w14:paraId="2E783DAB" w14:textId="77777777" w:rsidR="000D5417" w:rsidRPr="00A85CAE" w:rsidRDefault="00C54C67" w:rsidP="00A85CAE">
      <w:pPr>
        <w:pStyle w:val="BodyText"/>
        <w:ind w:left="120" w:right="946"/>
      </w:pPr>
      <w:hyperlink r:id="rId8">
        <w:r w:rsidR="000D5417" w:rsidRPr="00A85CAE">
          <w:rPr>
            <w:color w:val="007AB9"/>
          </w:rPr>
          <w:t xml:space="preserve">Regulation 13 - </w:t>
        </w:r>
        <w:proofErr w:type="spellStart"/>
        <w:r w:rsidR="000D5417" w:rsidRPr="00A85CAE">
          <w:rPr>
            <w:color w:val="007AB9"/>
          </w:rPr>
          <w:t>Behaviour</w:t>
        </w:r>
        <w:proofErr w:type="spellEnd"/>
        <w:r w:rsidR="000D5417" w:rsidRPr="00A85CAE">
          <w:rPr>
            <w:color w:val="007AB9"/>
          </w:rPr>
          <w:t xml:space="preserve"> management and children missing from foster parent's</w:t>
        </w:r>
      </w:hyperlink>
      <w:r w:rsidR="000D5417" w:rsidRPr="00A85CAE">
        <w:rPr>
          <w:color w:val="007AB9"/>
        </w:rPr>
        <w:t xml:space="preserve"> </w:t>
      </w:r>
      <w:hyperlink r:id="rId9">
        <w:r w:rsidR="000D5417" w:rsidRPr="00A85CAE">
          <w:rPr>
            <w:color w:val="007AB9"/>
          </w:rPr>
          <w:t>home</w:t>
        </w:r>
      </w:hyperlink>
    </w:p>
    <w:p w14:paraId="55E28750" w14:textId="3A95EC02" w:rsidR="000D5417" w:rsidRDefault="00A85CAE" w:rsidP="00A85CAE">
      <w:pPr>
        <w:pStyle w:val="BodyText"/>
      </w:pPr>
      <w:r>
        <w:t xml:space="preserve"> </w:t>
      </w:r>
    </w:p>
    <w:p w14:paraId="243DCBD6" w14:textId="1D5D5814" w:rsidR="00A85CAE" w:rsidRPr="00A85CAE" w:rsidRDefault="00A85CAE" w:rsidP="00A85CAE">
      <w:pPr>
        <w:pStyle w:val="BodyText"/>
      </w:pPr>
      <w:r>
        <w:t xml:space="preserve"> Fostering Services: National Minimum Standards </w:t>
      </w:r>
    </w:p>
    <w:p w14:paraId="6E6DD8C2" w14:textId="2108B6A8" w:rsidR="000D5417" w:rsidRDefault="00A85CAE" w:rsidP="00A85CAE">
      <w:pPr>
        <w:pStyle w:val="BodyText"/>
        <w:ind w:right="4367"/>
        <w:rPr>
          <w:color w:val="007AB9"/>
        </w:rPr>
      </w:pPr>
      <w:r>
        <w:t xml:space="preserve"> </w:t>
      </w:r>
      <w:hyperlink r:id="rId10">
        <w:r w:rsidR="000D5417" w:rsidRPr="00A85CAE">
          <w:rPr>
            <w:color w:val="007AB9"/>
          </w:rPr>
          <w:t>STANDARD 4 - Safeguarding Children</w:t>
        </w:r>
      </w:hyperlink>
    </w:p>
    <w:p w14:paraId="6AA6D59A" w14:textId="77777777" w:rsidR="00A85CAE" w:rsidRPr="00A85CAE" w:rsidRDefault="00A85CAE" w:rsidP="00A85CAE">
      <w:pPr>
        <w:pStyle w:val="BodyText"/>
        <w:ind w:left="120" w:right="4367"/>
      </w:pPr>
    </w:p>
    <w:p w14:paraId="07217C5F" w14:textId="0CE753DD" w:rsidR="000D5417" w:rsidRPr="00A85CAE" w:rsidRDefault="000D5417" w:rsidP="00A85CAE">
      <w:pPr>
        <w:pStyle w:val="BodyText"/>
        <w:ind w:left="120"/>
        <w:rPr>
          <w:b/>
          <w:bCs/>
        </w:rPr>
      </w:pPr>
      <w:r w:rsidRPr="00A85CAE">
        <w:rPr>
          <w:b/>
          <w:bCs/>
        </w:rPr>
        <w:t>Local Safeguarding Children Board Procedures</w:t>
      </w:r>
    </w:p>
    <w:p w14:paraId="08BE20E7" w14:textId="3D10EE44" w:rsidR="001A601B" w:rsidRDefault="00C54C67" w:rsidP="00A85CAE">
      <w:pPr>
        <w:pStyle w:val="BodyText"/>
        <w:ind w:left="120"/>
        <w:rPr>
          <w:lang w:val="en-GB"/>
        </w:rPr>
      </w:pPr>
      <w:hyperlink r:id="rId11" w:tgtFrame="_blank" w:history="1">
        <w:r w:rsidR="001A601B" w:rsidRPr="00A85CAE">
          <w:rPr>
            <w:rStyle w:val="Hyperlink"/>
            <w:b/>
            <w:bCs/>
            <w:lang w:val="en-GB"/>
          </w:rPr>
          <w:t>West Yorkshire Consortium Safeguarding and Child Protection Procedures</w:t>
        </w:r>
      </w:hyperlink>
      <w:r w:rsidR="001A601B" w:rsidRPr="00A85CAE">
        <w:rPr>
          <w:lang w:val="en-GB"/>
        </w:rPr>
        <w:t>.</w:t>
      </w:r>
    </w:p>
    <w:p w14:paraId="2AACFF96" w14:textId="77777777" w:rsidR="000D5417" w:rsidRPr="00A85CAE" w:rsidRDefault="000D5417" w:rsidP="00A85CAE">
      <w:pPr>
        <w:pStyle w:val="BodyText"/>
      </w:pPr>
    </w:p>
    <w:p w14:paraId="49D5E460" w14:textId="77777777" w:rsidR="000D5417" w:rsidRPr="00A85CAE" w:rsidRDefault="000D5417" w:rsidP="00A85CAE">
      <w:pPr>
        <w:pStyle w:val="Heading3"/>
      </w:pPr>
      <w:bookmarkStart w:id="1" w:name="Scope_of_this_Chapter"/>
      <w:bookmarkEnd w:id="1"/>
      <w:r w:rsidRPr="00A85CAE">
        <w:t>Scope of this Chapter</w:t>
      </w:r>
    </w:p>
    <w:p w14:paraId="7C41D945" w14:textId="77777777" w:rsidR="000D5417" w:rsidRPr="00A85CAE" w:rsidRDefault="000D5417" w:rsidP="00A85CAE">
      <w:pPr>
        <w:pStyle w:val="BodyText"/>
        <w:ind w:left="120" w:right="751"/>
      </w:pPr>
      <w:r w:rsidRPr="00A85CAE">
        <w:t>This chapter explains the procedure to be followed where there are concerns that a child placed with a foster carer approved by the agency has suffered, or is likely to suffer, significant harm. It should be read in conjunction with the Confidentiality and Information Sharing Procedure.</w:t>
      </w:r>
    </w:p>
    <w:p w14:paraId="053934F7" w14:textId="77777777" w:rsidR="000D5417" w:rsidRPr="00A85CAE" w:rsidRDefault="000D5417" w:rsidP="00A85CAE">
      <w:pPr>
        <w:pStyle w:val="BodyText"/>
      </w:pPr>
    </w:p>
    <w:p w14:paraId="7EB195CF" w14:textId="515C77BC" w:rsidR="000D5417" w:rsidRPr="00A85CAE" w:rsidRDefault="000D5417" w:rsidP="00A85CAE">
      <w:pPr>
        <w:pStyle w:val="BodyText"/>
        <w:ind w:left="120" w:right="1151"/>
      </w:pPr>
      <w:r w:rsidRPr="00A85CAE">
        <w:t xml:space="preserve">Where there are concerns that a child in placement has, or is likely to suffer Significant Harm as a result of the actions of a foster carer, see the </w:t>
      </w:r>
      <w:hyperlink r:id="rId12">
        <w:r w:rsidRPr="00A85CAE">
          <w:t>Managing Allegations Against Foster</w:t>
        </w:r>
      </w:hyperlink>
      <w:r w:rsidRPr="00A85CAE">
        <w:t xml:space="preserve"> </w:t>
      </w:r>
      <w:hyperlink r:id="rId13">
        <w:r w:rsidRPr="00A85CAE">
          <w:t>Carers Procedure</w:t>
        </w:r>
      </w:hyperlink>
      <w:r w:rsidRPr="00A85CAE">
        <w:t>.</w:t>
      </w:r>
    </w:p>
    <w:p w14:paraId="7DCD1B3C" w14:textId="77777777" w:rsidR="000D5417" w:rsidRPr="00A85CAE" w:rsidRDefault="000D5417" w:rsidP="00A85CAE">
      <w:pPr>
        <w:pStyle w:val="BodyText"/>
      </w:pPr>
    </w:p>
    <w:p w14:paraId="70408A05" w14:textId="77777777" w:rsidR="000D5417" w:rsidRPr="00A85CAE" w:rsidRDefault="000D5417" w:rsidP="00A85CAE">
      <w:pPr>
        <w:pStyle w:val="Heading1"/>
        <w:numPr>
          <w:ilvl w:val="0"/>
          <w:numId w:val="2"/>
        </w:numPr>
        <w:tabs>
          <w:tab w:val="left" w:pos="562"/>
        </w:tabs>
        <w:rPr>
          <w:b/>
          <w:bCs/>
          <w:sz w:val="24"/>
          <w:szCs w:val="24"/>
        </w:rPr>
      </w:pPr>
      <w:bookmarkStart w:id="2" w:name="Contents"/>
      <w:bookmarkStart w:id="3" w:name="1._Introduction_and_Definitions_of_Signi"/>
      <w:bookmarkEnd w:id="2"/>
      <w:bookmarkEnd w:id="3"/>
      <w:r w:rsidRPr="00A85CAE">
        <w:rPr>
          <w:b/>
          <w:bCs/>
          <w:sz w:val="24"/>
          <w:szCs w:val="24"/>
        </w:rPr>
        <w:t>Introduction and Definitions of Significant</w:t>
      </w:r>
      <w:r w:rsidRPr="00A85CAE">
        <w:rPr>
          <w:b/>
          <w:bCs/>
          <w:spacing w:val="-36"/>
          <w:sz w:val="24"/>
          <w:szCs w:val="24"/>
        </w:rPr>
        <w:t xml:space="preserve"> </w:t>
      </w:r>
      <w:r w:rsidRPr="00A85CAE">
        <w:rPr>
          <w:b/>
          <w:bCs/>
          <w:sz w:val="24"/>
          <w:szCs w:val="24"/>
        </w:rPr>
        <w:t>Harm</w:t>
      </w:r>
    </w:p>
    <w:p w14:paraId="76FBC3D2" w14:textId="2464B874" w:rsidR="000D5417" w:rsidRDefault="000D5417" w:rsidP="00A85CAE">
      <w:pPr>
        <w:pStyle w:val="BodyText"/>
        <w:ind w:left="120" w:right="1165"/>
      </w:pPr>
      <w:r w:rsidRPr="00A85CAE">
        <w:t xml:space="preserve">Safeguarding and promoting the welfare of children and young people and </w:t>
      </w:r>
      <w:proofErr w:type="gramStart"/>
      <w:r w:rsidRPr="00A85CAE">
        <w:t>in particular protecting</w:t>
      </w:r>
      <w:proofErr w:type="gramEnd"/>
      <w:r w:rsidRPr="00A85CAE">
        <w:t xml:space="preserve"> them from abuse and harm is a shared responsibility and depends on effective joint working between all staff and foster carers, with all relevant agencies and professionals.</w:t>
      </w:r>
    </w:p>
    <w:p w14:paraId="1249BF88" w14:textId="77777777" w:rsidR="00A85CAE" w:rsidRPr="00A85CAE" w:rsidRDefault="00A85CAE" w:rsidP="00A85CAE">
      <w:pPr>
        <w:pStyle w:val="BodyText"/>
        <w:ind w:left="120" w:right="1165"/>
      </w:pPr>
    </w:p>
    <w:p w14:paraId="6E7AB2BD" w14:textId="4303071F" w:rsidR="001A601B" w:rsidRDefault="000D5417" w:rsidP="00A85CAE">
      <w:pPr>
        <w:pStyle w:val="BodyText"/>
        <w:ind w:left="120" w:right="858"/>
      </w:pPr>
      <w:r w:rsidRPr="00A85CAE">
        <w:t>The agency is committed to safeguarding and promoting the well-being of children and young people who are placed in our care, so that they can live a healthy and happy childhood that is safe and positive, fr</w:t>
      </w:r>
      <w:r w:rsidR="001A601B" w:rsidRPr="00A85CAE">
        <w:t xml:space="preserve">ee from harassment and </w:t>
      </w:r>
      <w:proofErr w:type="gramStart"/>
      <w:r w:rsidR="001A601B" w:rsidRPr="00A85CAE">
        <w:t>bullying</w:t>
      </w:r>
      <w:proofErr w:type="gramEnd"/>
    </w:p>
    <w:p w14:paraId="2DE9CCB7" w14:textId="77777777" w:rsidR="00A85CAE" w:rsidRPr="00A85CAE" w:rsidRDefault="00A85CAE" w:rsidP="00A85CAE">
      <w:pPr>
        <w:pStyle w:val="BodyText"/>
        <w:ind w:left="120" w:right="858"/>
      </w:pPr>
    </w:p>
    <w:p w14:paraId="70FEB6D5" w14:textId="26BA7121" w:rsidR="001A601B" w:rsidRDefault="001A601B" w:rsidP="00A85CAE">
      <w:pPr>
        <w:pStyle w:val="BodyText"/>
        <w:ind w:left="120" w:right="858"/>
      </w:pPr>
      <w:r w:rsidRPr="00A85CAE">
        <w:t>Th</w:t>
      </w:r>
      <w:r w:rsidR="0075204E">
        <w:t>e</w:t>
      </w:r>
      <w:r w:rsidRPr="00A85CAE">
        <w:t xml:space="preserve"> Trust has a duty to promote and safeguard the welfare of children and to investigate and take necessary action to protect children and young people from abuse and harm.</w:t>
      </w:r>
    </w:p>
    <w:p w14:paraId="76B90B14" w14:textId="77777777" w:rsidR="001A601B" w:rsidRPr="00A85CAE" w:rsidRDefault="001A601B" w:rsidP="00A85CAE">
      <w:pPr>
        <w:pStyle w:val="BodyText"/>
      </w:pPr>
    </w:p>
    <w:p w14:paraId="33EAE84A" w14:textId="77777777" w:rsidR="001A601B" w:rsidRDefault="001A601B" w:rsidP="00A85CAE">
      <w:pPr>
        <w:pStyle w:val="BodyText"/>
        <w:ind w:left="120" w:right="752"/>
      </w:pPr>
      <w:r w:rsidRPr="00A85CAE">
        <w:t xml:space="preserve">All staff and foster carers have a responsibility to report any suspicions they have, that a child has or may be mistreated or harmed; and to take all allegations </w:t>
      </w:r>
      <w:proofErr w:type="gramStart"/>
      <w:r w:rsidRPr="00A85CAE">
        <w:t>seriously, and</w:t>
      </w:r>
      <w:proofErr w:type="gramEnd"/>
      <w:r w:rsidRPr="00A85CAE">
        <w:t xml:space="preserve"> report them to their manager or an independent person - such as the child's social worker, Police, Regulatory Authority or the NSPCC.</w:t>
      </w:r>
    </w:p>
    <w:p w14:paraId="0B56DD82" w14:textId="77777777" w:rsidR="00A85CAE" w:rsidRPr="00A85CAE" w:rsidRDefault="00A85CAE" w:rsidP="00A85CAE">
      <w:pPr>
        <w:pStyle w:val="BodyText"/>
        <w:ind w:left="120" w:right="752"/>
      </w:pPr>
    </w:p>
    <w:p w14:paraId="49556154" w14:textId="77777777" w:rsidR="001A601B" w:rsidRPr="00A85CAE" w:rsidRDefault="001A601B" w:rsidP="00A85CAE">
      <w:pPr>
        <w:pStyle w:val="BodyText"/>
        <w:ind w:left="120" w:right="885"/>
      </w:pPr>
      <w:r w:rsidRPr="00A85CAE">
        <w:t>The procedures in this chapter are mandatory and any failure to comply with them will be addressed through appropriate procedures.</w:t>
      </w:r>
    </w:p>
    <w:p w14:paraId="6B83A1D0" w14:textId="77777777" w:rsidR="001A601B" w:rsidRPr="00A85CAE" w:rsidRDefault="001A601B" w:rsidP="00A85CAE">
      <w:pPr>
        <w:pStyle w:val="BodyText"/>
      </w:pPr>
    </w:p>
    <w:p w14:paraId="33E3A1A6" w14:textId="77777777" w:rsidR="001A601B" w:rsidRPr="00A85CAE" w:rsidRDefault="001A601B" w:rsidP="00A85CAE">
      <w:pPr>
        <w:pStyle w:val="BodyText"/>
        <w:ind w:left="120" w:right="1058"/>
      </w:pPr>
      <w:r w:rsidRPr="00A85CAE">
        <w:t>The Children Act 1989 introduced Significant Harm as the threshold that justifies compulsory intervention in family life in the best interests of children.</w:t>
      </w:r>
    </w:p>
    <w:p w14:paraId="3EBD2529" w14:textId="77777777" w:rsidR="001A601B" w:rsidRPr="00A85CAE" w:rsidRDefault="001A601B" w:rsidP="00A85CAE">
      <w:pPr>
        <w:pStyle w:val="BodyText"/>
      </w:pPr>
    </w:p>
    <w:p w14:paraId="79477726" w14:textId="77777777" w:rsidR="001A601B" w:rsidRPr="00A85CAE" w:rsidRDefault="001A601B" w:rsidP="00A85CAE">
      <w:pPr>
        <w:pStyle w:val="BodyText"/>
        <w:ind w:left="120" w:right="1044"/>
      </w:pPr>
      <w:r w:rsidRPr="00A85CAE">
        <w:lastRenderedPageBreak/>
        <w:t>Physical abuse, sexual abuse, emotional abuse and neglect are all categories of significant harm.</w:t>
      </w:r>
    </w:p>
    <w:p w14:paraId="45B2E42A" w14:textId="77777777" w:rsidR="001A601B" w:rsidRPr="00A85CAE" w:rsidRDefault="001A601B" w:rsidP="00A85CAE">
      <w:pPr>
        <w:pStyle w:val="BodyText"/>
      </w:pPr>
    </w:p>
    <w:p w14:paraId="7AE806BB" w14:textId="77777777" w:rsidR="001A601B" w:rsidRPr="00A85CAE" w:rsidRDefault="001A601B" w:rsidP="00A85CAE">
      <w:pPr>
        <w:pStyle w:val="BodyText"/>
        <w:ind w:left="120" w:right="565"/>
      </w:pPr>
      <w:r w:rsidRPr="00A85CAE">
        <w:t>Physical abuse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2572E38" w14:textId="77777777" w:rsidR="001A601B" w:rsidRPr="00A85CAE" w:rsidRDefault="001A601B" w:rsidP="00A85CAE">
      <w:pPr>
        <w:pStyle w:val="BodyText"/>
      </w:pPr>
    </w:p>
    <w:p w14:paraId="5594DE9A" w14:textId="77777777" w:rsidR="001A601B" w:rsidRPr="00A85CAE" w:rsidRDefault="001A601B" w:rsidP="00A85CAE">
      <w:pPr>
        <w:pStyle w:val="BodyText"/>
        <w:ind w:left="120" w:right="591"/>
      </w:pPr>
      <w:r w:rsidRPr="00A85CAE">
        <w:t xml:space="preserve">Sexual abuse - Involves forcing or enticing a child or young person to take part in sexual activities, not necessarily involving a high level of violence, </w:t>
      </w:r>
      <w:proofErr w:type="gramStart"/>
      <w:r w:rsidRPr="00A85CAE">
        <w:t>whether or not</w:t>
      </w:r>
      <w:proofErr w:type="gramEnd"/>
      <w:r w:rsidRPr="00A85CAE">
        <w:t xml:space="preserve"> the child is aware of what is happening.</w:t>
      </w:r>
    </w:p>
    <w:p w14:paraId="4B2CA5FE" w14:textId="77777777" w:rsidR="001A601B" w:rsidRPr="00A85CAE" w:rsidRDefault="001A601B" w:rsidP="00A85CAE">
      <w:pPr>
        <w:pStyle w:val="BodyText"/>
      </w:pPr>
    </w:p>
    <w:p w14:paraId="0AE8D845" w14:textId="77777777" w:rsidR="001A601B" w:rsidRPr="00A85CAE" w:rsidRDefault="001A601B" w:rsidP="00A85CAE">
      <w:pPr>
        <w:pStyle w:val="BodyText"/>
        <w:ind w:left="120" w:right="911"/>
      </w:pPr>
      <w:r w:rsidRPr="00A85CAE">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21BD7E20" w14:textId="77777777" w:rsidR="001A601B" w:rsidRPr="00A85CAE" w:rsidRDefault="001A601B" w:rsidP="00A85CAE">
      <w:pPr>
        <w:pStyle w:val="BodyText"/>
      </w:pPr>
    </w:p>
    <w:p w14:paraId="7D9C47CB" w14:textId="77777777" w:rsidR="001A601B" w:rsidRPr="00A85CAE" w:rsidRDefault="001A601B" w:rsidP="00A85CAE">
      <w:pPr>
        <w:pStyle w:val="BodyText"/>
        <w:ind w:left="120" w:right="618"/>
      </w:pPr>
      <w:r w:rsidRPr="00A85CAE">
        <w:t>Sexual abuse is not solely perpetrated by adult males. Women can also commit acts of sexual abuse, as can other children.</w:t>
      </w:r>
    </w:p>
    <w:p w14:paraId="6F7B4375" w14:textId="77777777" w:rsidR="001A601B" w:rsidRPr="00A85CAE" w:rsidRDefault="001A601B" w:rsidP="00A85CAE">
      <w:pPr>
        <w:pStyle w:val="BodyText"/>
      </w:pPr>
    </w:p>
    <w:p w14:paraId="66D7E480" w14:textId="77777777" w:rsidR="001A601B" w:rsidRPr="00A85CAE" w:rsidRDefault="001A601B" w:rsidP="00A85CAE">
      <w:pPr>
        <w:pStyle w:val="BodyText"/>
        <w:ind w:left="120" w:right="658"/>
      </w:pPr>
      <w:r w:rsidRPr="00A85CAE">
        <w:t>Emotional abuse - the persistent emotional maltreatment of a child such as to cause severe and persistent adverse effects on the child's emotional development.</w:t>
      </w:r>
    </w:p>
    <w:p w14:paraId="0365EC3A" w14:textId="77777777" w:rsidR="001A601B" w:rsidRPr="00A85CAE" w:rsidRDefault="001A601B" w:rsidP="00A85CAE">
      <w:pPr>
        <w:pStyle w:val="BodyText"/>
      </w:pPr>
    </w:p>
    <w:p w14:paraId="78242BDB" w14:textId="77777777" w:rsidR="001A601B" w:rsidRPr="00A85CAE" w:rsidRDefault="001A601B" w:rsidP="00A85CAE">
      <w:pPr>
        <w:pStyle w:val="BodyText"/>
        <w:ind w:left="120" w:right="591"/>
      </w:pPr>
      <w:r w:rsidRPr="00A85CAE">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1EB37901" w14:textId="77777777" w:rsidR="001A601B" w:rsidRPr="00A85CAE" w:rsidRDefault="001A601B" w:rsidP="00A85CAE">
      <w:pPr>
        <w:pStyle w:val="BodyText"/>
      </w:pPr>
    </w:p>
    <w:p w14:paraId="6635EC5C" w14:textId="77777777" w:rsidR="001A601B" w:rsidRPr="00A85CAE" w:rsidRDefault="001A601B" w:rsidP="00A85CAE">
      <w:pPr>
        <w:pStyle w:val="BodyText"/>
        <w:ind w:left="120" w:right="711"/>
      </w:pPr>
      <w:r w:rsidRPr="00A85CAE">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DB96CD3" w14:textId="77777777" w:rsidR="001A601B" w:rsidRPr="00A85CAE" w:rsidRDefault="001A601B" w:rsidP="00A85CAE">
      <w:pPr>
        <w:pStyle w:val="BodyText"/>
      </w:pPr>
    </w:p>
    <w:p w14:paraId="152D5B5B" w14:textId="0025BA99" w:rsidR="001A601B" w:rsidRPr="00A85CAE" w:rsidRDefault="001A601B" w:rsidP="00A85CAE">
      <w:pPr>
        <w:pStyle w:val="BodyText"/>
        <w:ind w:left="120" w:right="671"/>
      </w:pPr>
      <w:r w:rsidRPr="00A85CAE">
        <w:t>It may involve seeing or hearing the ill-treatment of another. It may involve serious bullying (including cyber bullying), causing children frequently to feel frightened or in danger, or the exploitation or corruption of children.</w:t>
      </w:r>
    </w:p>
    <w:p w14:paraId="5A3F5A18" w14:textId="77777777" w:rsidR="00852DFC" w:rsidRPr="00A85CAE" w:rsidRDefault="00852DFC" w:rsidP="00A85CAE">
      <w:pPr>
        <w:pStyle w:val="BodyText"/>
        <w:ind w:left="120" w:right="1072"/>
      </w:pPr>
      <w:r w:rsidRPr="00A85CAE">
        <w:t>Some level of emotional abuse is involved in all types of maltreatment of a child, though it may occur alone.</w:t>
      </w:r>
    </w:p>
    <w:p w14:paraId="4B703C29" w14:textId="77777777" w:rsidR="00852DFC" w:rsidRPr="00A85CAE" w:rsidRDefault="00852DFC" w:rsidP="00A85CAE">
      <w:pPr>
        <w:pStyle w:val="BodyText"/>
      </w:pPr>
    </w:p>
    <w:p w14:paraId="2BC0CAE3" w14:textId="77777777" w:rsidR="00852DFC" w:rsidRPr="00A85CAE" w:rsidRDefault="00852DFC" w:rsidP="00A85CAE">
      <w:pPr>
        <w:pStyle w:val="BodyText"/>
        <w:ind w:left="120" w:right="631"/>
      </w:pPr>
      <w:r w:rsidRPr="00A85CAE">
        <w:t>Neglect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0B15A44" w14:textId="77777777" w:rsidR="00852DFC" w:rsidRPr="00A85CAE" w:rsidRDefault="00852DFC" w:rsidP="00A85CAE">
      <w:pPr>
        <w:pStyle w:val="ListParagraph"/>
        <w:numPr>
          <w:ilvl w:val="0"/>
          <w:numId w:val="1"/>
        </w:numPr>
        <w:tabs>
          <w:tab w:val="left" w:pos="479"/>
          <w:tab w:val="left" w:pos="480"/>
        </w:tabs>
        <w:ind w:right="929"/>
        <w:rPr>
          <w:sz w:val="24"/>
          <w:szCs w:val="24"/>
        </w:rPr>
      </w:pPr>
      <w:r w:rsidRPr="00A85CAE">
        <w:rPr>
          <w:sz w:val="24"/>
          <w:szCs w:val="24"/>
        </w:rPr>
        <w:t>Provide adequate food, clothing and shelter (including exclusion from home or abandonment</w:t>
      </w:r>
      <w:proofErr w:type="gramStart"/>
      <w:r w:rsidRPr="00A85CAE">
        <w:rPr>
          <w:sz w:val="24"/>
          <w:szCs w:val="24"/>
        </w:rPr>
        <w:t>);</w:t>
      </w:r>
      <w:proofErr w:type="gramEnd"/>
    </w:p>
    <w:p w14:paraId="4D0D24EB" w14:textId="3D7A790B" w:rsidR="00852DFC" w:rsidRPr="00A85CAE" w:rsidRDefault="00852DFC" w:rsidP="00A85CAE">
      <w:pPr>
        <w:pStyle w:val="ListParagraph"/>
        <w:numPr>
          <w:ilvl w:val="0"/>
          <w:numId w:val="1"/>
        </w:numPr>
        <w:tabs>
          <w:tab w:val="left" w:pos="479"/>
          <w:tab w:val="left" w:pos="480"/>
        </w:tabs>
        <w:rPr>
          <w:sz w:val="24"/>
          <w:szCs w:val="24"/>
        </w:rPr>
      </w:pPr>
      <w:r w:rsidRPr="00A85CAE">
        <w:rPr>
          <w:sz w:val="24"/>
          <w:szCs w:val="24"/>
        </w:rPr>
        <w:t>Protect a child from physical and emotional harm or</w:t>
      </w:r>
      <w:r w:rsidR="00676B19" w:rsidRPr="00A85CAE">
        <w:rPr>
          <w:sz w:val="24"/>
          <w:szCs w:val="24"/>
        </w:rPr>
        <w:t xml:space="preserve"> </w:t>
      </w:r>
      <w:proofErr w:type="gramStart"/>
      <w:r w:rsidRPr="00A85CAE">
        <w:rPr>
          <w:sz w:val="24"/>
          <w:szCs w:val="24"/>
        </w:rPr>
        <w:t>danger;</w:t>
      </w:r>
      <w:proofErr w:type="gramEnd"/>
    </w:p>
    <w:p w14:paraId="0C4E3ADE" w14:textId="77777777" w:rsidR="00852DFC" w:rsidRPr="00A85CAE" w:rsidRDefault="00852DFC" w:rsidP="00A85CAE">
      <w:pPr>
        <w:pStyle w:val="ListParagraph"/>
        <w:numPr>
          <w:ilvl w:val="0"/>
          <w:numId w:val="1"/>
        </w:numPr>
        <w:tabs>
          <w:tab w:val="left" w:pos="479"/>
          <w:tab w:val="left" w:pos="480"/>
        </w:tabs>
        <w:ind w:hanging="361"/>
        <w:rPr>
          <w:sz w:val="24"/>
          <w:szCs w:val="24"/>
        </w:rPr>
      </w:pPr>
      <w:r w:rsidRPr="00A85CAE">
        <w:rPr>
          <w:sz w:val="24"/>
          <w:szCs w:val="24"/>
        </w:rPr>
        <w:t>Ensure</w:t>
      </w:r>
      <w:r w:rsidRPr="00A85CAE">
        <w:rPr>
          <w:spacing w:val="-8"/>
          <w:sz w:val="24"/>
          <w:szCs w:val="24"/>
        </w:rPr>
        <w:t xml:space="preserve"> </w:t>
      </w:r>
      <w:r w:rsidRPr="00A85CAE">
        <w:rPr>
          <w:sz w:val="24"/>
          <w:szCs w:val="24"/>
        </w:rPr>
        <w:t>adequate</w:t>
      </w:r>
      <w:r w:rsidRPr="00A85CAE">
        <w:rPr>
          <w:spacing w:val="-6"/>
          <w:sz w:val="24"/>
          <w:szCs w:val="24"/>
        </w:rPr>
        <w:t xml:space="preserve"> </w:t>
      </w:r>
      <w:r w:rsidRPr="00A85CAE">
        <w:rPr>
          <w:sz w:val="24"/>
          <w:szCs w:val="24"/>
        </w:rPr>
        <w:t>supervision</w:t>
      </w:r>
      <w:r w:rsidRPr="00A85CAE">
        <w:rPr>
          <w:spacing w:val="-5"/>
          <w:sz w:val="24"/>
          <w:szCs w:val="24"/>
        </w:rPr>
        <w:t xml:space="preserve"> </w:t>
      </w:r>
      <w:r w:rsidRPr="00A85CAE">
        <w:rPr>
          <w:sz w:val="24"/>
          <w:szCs w:val="24"/>
        </w:rPr>
        <w:t>(including</w:t>
      </w:r>
      <w:r w:rsidRPr="00A85CAE">
        <w:rPr>
          <w:spacing w:val="-11"/>
          <w:sz w:val="24"/>
          <w:szCs w:val="24"/>
        </w:rPr>
        <w:t xml:space="preserve"> </w:t>
      </w:r>
      <w:r w:rsidRPr="00A85CAE">
        <w:rPr>
          <w:sz w:val="24"/>
          <w:szCs w:val="24"/>
        </w:rPr>
        <w:t>the</w:t>
      </w:r>
      <w:r w:rsidRPr="00A85CAE">
        <w:rPr>
          <w:spacing w:val="-7"/>
          <w:sz w:val="24"/>
          <w:szCs w:val="24"/>
        </w:rPr>
        <w:t xml:space="preserve"> </w:t>
      </w:r>
      <w:r w:rsidRPr="00A85CAE">
        <w:rPr>
          <w:sz w:val="24"/>
          <w:szCs w:val="24"/>
        </w:rPr>
        <w:t>use</w:t>
      </w:r>
      <w:r w:rsidRPr="00A85CAE">
        <w:rPr>
          <w:spacing w:val="-6"/>
          <w:sz w:val="24"/>
          <w:szCs w:val="24"/>
        </w:rPr>
        <w:t xml:space="preserve"> </w:t>
      </w:r>
      <w:r w:rsidRPr="00A85CAE">
        <w:rPr>
          <w:sz w:val="24"/>
          <w:szCs w:val="24"/>
        </w:rPr>
        <w:t>of</w:t>
      </w:r>
      <w:r w:rsidRPr="00A85CAE">
        <w:rPr>
          <w:spacing w:val="-1"/>
          <w:sz w:val="24"/>
          <w:szCs w:val="24"/>
        </w:rPr>
        <w:t xml:space="preserve"> </w:t>
      </w:r>
      <w:r w:rsidRPr="00A85CAE">
        <w:rPr>
          <w:sz w:val="24"/>
          <w:szCs w:val="24"/>
        </w:rPr>
        <w:t>inadequate</w:t>
      </w:r>
      <w:r w:rsidRPr="00A85CAE">
        <w:rPr>
          <w:spacing w:val="-7"/>
          <w:sz w:val="24"/>
          <w:szCs w:val="24"/>
        </w:rPr>
        <w:t xml:space="preserve"> </w:t>
      </w:r>
      <w:proofErr w:type="gramStart"/>
      <w:r w:rsidRPr="00A85CAE">
        <w:rPr>
          <w:sz w:val="24"/>
          <w:szCs w:val="24"/>
        </w:rPr>
        <w:t>care-givers</w:t>
      </w:r>
      <w:proofErr w:type="gramEnd"/>
      <w:r w:rsidRPr="00A85CAE">
        <w:rPr>
          <w:sz w:val="24"/>
          <w:szCs w:val="24"/>
        </w:rPr>
        <w:t>);</w:t>
      </w:r>
      <w:r w:rsidRPr="00A85CAE">
        <w:rPr>
          <w:spacing w:val="-32"/>
          <w:sz w:val="24"/>
          <w:szCs w:val="24"/>
        </w:rPr>
        <w:t xml:space="preserve"> </w:t>
      </w:r>
      <w:r w:rsidRPr="00A85CAE">
        <w:rPr>
          <w:sz w:val="24"/>
          <w:szCs w:val="24"/>
        </w:rPr>
        <w:t>or</w:t>
      </w:r>
    </w:p>
    <w:p w14:paraId="303514EA" w14:textId="40ACBA79" w:rsidR="00852DFC" w:rsidRDefault="00852DFC" w:rsidP="00A85CAE">
      <w:pPr>
        <w:pStyle w:val="ListParagraph"/>
        <w:numPr>
          <w:ilvl w:val="0"/>
          <w:numId w:val="1"/>
        </w:numPr>
        <w:tabs>
          <w:tab w:val="left" w:pos="479"/>
          <w:tab w:val="left" w:pos="480"/>
        </w:tabs>
        <w:ind w:hanging="361"/>
        <w:rPr>
          <w:sz w:val="24"/>
          <w:szCs w:val="24"/>
        </w:rPr>
      </w:pPr>
      <w:r w:rsidRPr="00A85CAE">
        <w:rPr>
          <w:sz w:val="24"/>
          <w:szCs w:val="24"/>
        </w:rPr>
        <w:t>Ensure access to appropriate medical care</w:t>
      </w:r>
      <w:r w:rsidRPr="00A85CAE">
        <w:rPr>
          <w:spacing w:val="-4"/>
          <w:sz w:val="24"/>
          <w:szCs w:val="24"/>
        </w:rPr>
        <w:t xml:space="preserve"> </w:t>
      </w:r>
      <w:r w:rsidRPr="00A85CAE">
        <w:rPr>
          <w:sz w:val="24"/>
          <w:szCs w:val="24"/>
        </w:rPr>
        <w:t>or</w:t>
      </w:r>
      <w:r w:rsidR="00676B19" w:rsidRPr="00A85CAE">
        <w:rPr>
          <w:sz w:val="24"/>
          <w:szCs w:val="24"/>
        </w:rPr>
        <w:t xml:space="preserve"> </w:t>
      </w:r>
      <w:r w:rsidRPr="00A85CAE">
        <w:rPr>
          <w:sz w:val="24"/>
          <w:szCs w:val="24"/>
        </w:rPr>
        <w:t>treatment.</w:t>
      </w:r>
    </w:p>
    <w:p w14:paraId="7F702CAC" w14:textId="77777777" w:rsidR="00852DFC" w:rsidRPr="00A85CAE" w:rsidRDefault="00852DFC" w:rsidP="00A85CAE">
      <w:pPr>
        <w:pStyle w:val="BodyText"/>
        <w:ind w:left="119" w:right="1133"/>
      </w:pPr>
      <w:r w:rsidRPr="00A85CAE">
        <w:lastRenderedPageBreak/>
        <w:t>It may also include neglect of, or unresponsiveness to, a child's basic emotional needs.</w:t>
      </w:r>
    </w:p>
    <w:p w14:paraId="0D6EB042" w14:textId="77777777" w:rsidR="00852DFC" w:rsidRPr="00A85CAE" w:rsidRDefault="00852DFC" w:rsidP="00A85CAE">
      <w:pPr>
        <w:pStyle w:val="BodyText"/>
      </w:pPr>
    </w:p>
    <w:p w14:paraId="6A6C8B7F" w14:textId="77777777" w:rsidR="00852DFC" w:rsidRPr="00A85CAE" w:rsidRDefault="00852DFC" w:rsidP="00A85CAE">
      <w:pPr>
        <w:ind w:left="120"/>
        <w:rPr>
          <w:sz w:val="24"/>
          <w:szCs w:val="24"/>
        </w:rPr>
      </w:pPr>
      <w:r w:rsidRPr="00A85CAE">
        <w:rPr>
          <w:i/>
          <w:sz w:val="24"/>
          <w:szCs w:val="24"/>
        </w:rPr>
        <w:t>Definitions taken from Working Together to Safeguard Children</w:t>
      </w:r>
      <w:r w:rsidRPr="00A85CAE">
        <w:rPr>
          <w:sz w:val="24"/>
          <w:szCs w:val="24"/>
        </w:rPr>
        <w:t>.</w:t>
      </w:r>
    </w:p>
    <w:p w14:paraId="613077D4" w14:textId="77777777" w:rsidR="00852DFC" w:rsidRPr="00A85CAE" w:rsidRDefault="00852DFC" w:rsidP="00A85CAE">
      <w:pPr>
        <w:pStyle w:val="BodyText"/>
      </w:pPr>
    </w:p>
    <w:p w14:paraId="1B71E10D" w14:textId="77777777" w:rsidR="00852DFC" w:rsidRPr="00A85CAE" w:rsidRDefault="00852DFC" w:rsidP="00A85CAE">
      <w:pPr>
        <w:pStyle w:val="BodyText"/>
        <w:ind w:left="120" w:right="899"/>
      </w:pPr>
      <w:r w:rsidRPr="00A85CAE">
        <w:t>Suspicions or allegations that a child is suffering or likely to suffer significant harm may result in an assessment incorporating a Section 47 Enquiry.</w:t>
      </w:r>
    </w:p>
    <w:p w14:paraId="7AD36BD0" w14:textId="77777777" w:rsidR="00852DFC" w:rsidRPr="00A85CAE" w:rsidRDefault="00852DFC" w:rsidP="00A85CAE">
      <w:pPr>
        <w:pStyle w:val="BodyText"/>
      </w:pPr>
    </w:p>
    <w:p w14:paraId="1BDBFE54" w14:textId="77777777" w:rsidR="00852DFC" w:rsidRPr="00A85CAE" w:rsidRDefault="00852DFC" w:rsidP="00A85CAE">
      <w:pPr>
        <w:pStyle w:val="BodyText"/>
        <w:ind w:left="120" w:right="632"/>
      </w:pPr>
      <w:r w:rsidRPr="00A85CAE">
        <w:t>There are no absolute criteria on which to rely when judging what constitutes significant harm. Sometimes a single violent episode may constitute significant harm but more often it is an accumulation of significant events, both acute and longstanding, which interrupt damage or change the child's development.</w:t>
      </w:r>
    </w:p>
    <w:p w14:paraId="720A1B9B" w14:textId="2A409649" w:rsidR="00852DFC" w:rsidRPr="00A85CAE" w:rsidRDefault="00852DFC" w:rsidP="00A85CAE">
      <w:pPr>
        <w:pStyle w:val="BodyText"/>
        <w:ind w:right="858"/>
      </w:pPr>
    </w:p>
    <w:p w14:paraId="269194E6" w14:textId="04EF24AF" w:rsidR="00852DFC" w:rsidRPr="00A85CAE" w:rsidRDefault="00852DFC" w:rsidP="00A85CAE">
      <w:pPr>
        <w:pStyle w:val="Heading1"/>
        <w:numPr>
          <w:ilvl w:val="0"/>
          <w:numId w:val="2"/>
        </w:numPr>
        <w:tabs>
          <w:tab w:val="left" w:pos="564"/>
        </w:tabs>
        <w:rPr>
          <w:b/>
          <w:bCs/>
          <w:sz w:val="24"/>
          <w:szCs w:val="24"/>
        </w:rPr>
      </w:pPr>
      <w:r w:rsidRPr="00A85CAE">
        <w:rPr>
          <w:b/>
          <w:bCs/>
          <w:sz w:val="24"/>
          <w:szCs w:val="24"/>
        </w:rPr>
        <w:t>Reporting Suspicions or</w:t>
      </w:r>
      <w:r w:rsidRPr="00A85CAE">
        <w:rPr>
          <w:b/>
          <w:bCs/>
          <w:spacing w:val="-22"/>
          <w:sz w:val="24"/>
          <w:szCs w:val="24"/>
        </w:rPr>
        <w:t xml:space="preserve"> </w:t>
      </w:r>
      <w:r w:rsidRPr="00A85CAE">
        <w:rPr>
          <w:b/>
          <w:bCs/>
          <w:sz w:val="24"/>
          <w:szCs w:val="24"/>
        </w:rPr>
        <w:t>Allegations</w:t>
      </w:r>
    </w:p>
    <w:p w14:paraId="3A09EFC8" w14:textId="77777777" w:rsidR="00852DFC" w:rsidRPr="00A85CAE" w:rsidRDefault="00852DFC" w:rsidP="00A85CAE">
      <w:pPr>
        <w:pStyle w:val="BodyText"/>
        <w:ind w:left="120" w:right="632"/>
      </w:pPr>
      <w:r w:rsidRPr="00A85CAE">
        <w:t>The following assumes that there are no concerns or allegations against the foster carer(s) or staff or volunteers of the fostering service. If there are any such concerns, see the Managing Allegations Against Staff and Foster Carers Procedure.</w:t>
      </w:r>
    </w:p>
    <w:p w14:paraId="7A93317A" w14:textId="69DA9344" w:rsidR="00852DFC" w:rsidRPr="00A85CAE" w:rsidRDefault="00852DFC" w:rsidP="00A85CAE">
      <w:pPr>
        <w:pStyle w:val="BodyText"/>
        <w:ind w:left="120" w:right="858"/>
      </w:pPr>
    </w:p>
    <w:p w14:paraId="187DF9C5" w14:textId="77777777" w:rsidR="00852DFC" w:rsidRPr="00A85CAE" w:rsidRDefault="00852DFC" w:rsidP="00A85CAE">
      <w:pPr>
        <w:pStyle w:val="Heading2"/>
        <w:numPr>
          <w:ilvl w:val="1"/>
          <w:numId w:val="2"/>
        </w:numPr>
        <w:tabs>
          <w:tab w:val="left" w:pos="591"/>
        </w:tabs>
        <w:rPr>
          <w:sz w:val="24"/>
          <w:szCs w:val="24"/>
        </w:rPr>
      </w:pPr>
      <w:r w:rsidRPr="00A85CAE">
        <w:rPr>
          <w:sz w:val="24"/>
          <w:szCs w:val="24"/>
        </w:rPr>
        <w:t>Receiving/Reporting</w:t>
      </w:r>
      <w:r w:rsidRPr="00A85CAE">
        <w:rPr>
          <w:spacing w:val="-33"/>
          <w:sz w:val="24"/>
          <w:szCs w:val="24"/>
        </w:rPr>
        <w:t xml:space="preserve"> </w:t>
      </w:r>
      <w:r w:rsidRPr="00A85CAE">
        <w:rPr>
          <w:sz w:val="24"/>
          <w:szCs w:val="24"/>
        </w:rPr>
        <w:t>Concerns/Allegations</w:t>
      </w:r>
    </w:p>
    <w:p w14:paraId="33E3B65C" w14:textId="35A780D2" w:rsidR="00852DFC" w:rsidRPr="00A85CAE" w:rsidRDefault="00852DFC" w:rsidP="00A85CAE">
      <w:pPr>
        <w:pStyle w:val="BodyText"/>
        <w:ind w:left="120" w:right="832"/>
      </w:pPr>
      <w:r w:rsidRPr="00A85CAE">
        <w:t>Any concerns or allegations of significant harm to a child placed with a foster carer approved by the agency must be reported to the child's social worker and their Supervising Social Worker.</w:t>
      </w:r>
    </w:p>
    <w:p w14:paraId="41D7BF50" w14:textId="77777777" w:rsidR="00852DFC" w:rsidRPr="00A85CAE" w:rsidRDefault="00852DFC" w:rsidP="00A85CAE">
      <w:pPr>
        <w:pStyle w:val="BodyText"/>
      </w:pPr>
    </w:p>
    <w:p w14:paraId="0CD33C61" w14:textId="77777777" w:rsidR="00852DFC" w:rsidRPr="00A85CAE" w:rsidRDefault="00852DFC" w:rsidP="00A85CAE">
      <w:pPr>
        <w:pStyle w:val="BodyText"/>
        <w:ind w:left="120"/>
      </w:pPr>
      <w:r w:rsidRPr="00A85CAE">
        <w:t>Outside office hours, the Out of Hours Service should be contacted.</w:t>
      </w:r>
    </w:p>
    <w:p w14:paraId="1EC00053" w14:textId="77777777" w:rsidR="00852DFC" w:rsidRPr="00A85CAE" w:rsidRDefault="00852DFC" w:rsidP="00A85CAE">
      <w:pPr>
        <w:pStyle w:val="BodyText"/>
      </w:pPr>
    </w:p>
    <w:p w14:paraId="46D934A3" w14:textId="77777777" w:rsidR="00852DFC" w:rsidRPr="00A85CAE" w:rsidRDefault="00852DFC" w:rsidP="00A85CAE">
      <w:pPr>
        <w:pStyle w:val="BodyText"/>
        <w:ind w:left="120" w:right="578"/>
      </w:pPr>
      <w:r w:rsidRPr="00A85CAE">
        <w:t>This includes concerns or allegations made about another child, a visitor, a person in the community, teacher, social worker, parent or any other person.</w:t>
      </w:r>
    </w:p>
    <w:p w14:paraId="15C52BCE" w14:textId="77777777" w:rsidR="00852DFC" w:rsidRPr="00A85CAE" w:rsidRDefault="00852DFC" w:rsidP="00A85CAE">
      <w:pPr>
        <w:pStyle w:val="BodyText"/>
      </w:pPr>
    </w:p>
    <w:p w14:paraId="0150961C" w14:textId="3C6CCE9C" w:rsidR="00852DFC" w:rsidRPr="00A85CAE" w:rsidRDefault="00852DFC" w:rsidP="00A85CAE">
      <w:pPr>
        <w:pStyle w:val="BodyText"/>
        <w:ind w:left="120" w:right="844"/>
      </w:pPr>
      <w:r w:rsidRPr="00A85CAE">
        <w:t>Where a concern or allegation about historical abuse is made this should still be referred - there should not be an assumption that the concern has been dealt with.</w:t>
      </w:r>
    </w:p>
    <w:p w14:paraId="353EFF0E" w14:textId="77777777" w:rsidR="00852DFC" w:rsidRPr="00A85CAE" w:rsidRDefault="00852DFC" w:rsidP="00A85CAE">
      <w:pPr>
        <w:pStyle w:val="BodyText"/>
        <w:ind w:left="120" w:right="844"/>
      </w:pPr>
    </w:p>
    <w:p w14:paraId="6B77BA31" w14:textId="77777777" w:rsidR="00852DFC" w:rsidRPr="00A85CAE" w:rsidRDefault="00852DFC" w:rsidP="00A85CAE">
      <w:pPr>
        <w:pStyle w:val="Heading2"/>
        <w:numPr>
          <w:ilvl w:val="1"/>
          <w:numId w:val="2"/>
        </w:numPr>
        <w:tabs>
          <w:tab w:val="left" w:pos="589"/>
        </w:tabs>
        <w:rPr>
          <w:sz w:val="24"/>
          <w:szCs w:val="24"/>
        </w:rPr>
      </w:pPr>
      <w:r w:rsidRPr="00A85CAE">
        <w:rPr>
          <w:sz w:val="24"/>
          <w:szCs w:val="24"/>
        </w:rPr>
        <w:t>Emergency</w:t>
      </w:r>
      <w:r w:rsidRPr="00A85CAE">
        <w:rPr>
          <w:spacing w:val="-22"/>
          <w:sz w:val="24"/>
          <w:szCs w:val="24"/>
        </w:rPr>
        <w:t xml:space="preserve"> </w:t>
      </w:r>
      <w:r w:rsidRPr="00A85CAE">
        <w:rPr>
          <w:sz w:val="24"/>
          <w:szCs w:val="24"/>
        </w:rPr>
        <w:t>Action</w:t>
      </w:r>
    </w:p>
    <w:p w14:paraId="6B2EE9A0" w14:textId="77777777" w:rsidR="00852DFC" w:rsidRPr="00A85CAE" w:rsidRDefault="00852DFC" w:rsidP="00A85CAE">
      <w:pPr>
        <w:pStyle w:val="BodyText"/>
        <w:ind w:left="120" w:right="965"/>
      </w:pPr>
      <w:r w:rsidRPr="00A85CAE">
        <w:t xml:space="preserve">The following applies where there is an immediate risk to a child </w:t>
      </w:r>
      <w:proofErr w:type="gramStart"/>
      <w:r w:rsidRPr="00A85CAE">
        <w:t>e.g.</w:t>
      </w:r>
      <w:proofErr w:type="gramEnd"/>
      <w:r w:rsidRPr="00A85CAE">
        <w:t xml:space="preserve"> the need for urgent medical attention as a result of suspected significant harm or there is an immediate risk of harm to the child which cannot be prevented.</w:t>
      </w:r>
    </w:p>
    <w:p w14:paraId="01C59AD6" w14:textId="77777777" w:rsidR="00852DFC" w:rsidRPr="00A85CAE" w:rsidRDefault="00852DFC" w:rsidP="00A85CAE">
      <w:pPr>
        <w:pStyle w:val="BodyText"/>
      </w:pPr>
    </w:p>
    <w:p w14:paraId="14D1B306" w14:textId="77777777" w:rsidR="00852DFC" w:rsidRPr="00A85CAE" w:rsidRDefault="00852DFC" w:rsidP="00A85CAE">
      <w:pPr>
        <w:pStyle w:val="BodyText"/>
        <w:ind w:left="120" w:right="726"/>
      </w:pPr>
      <w:r w:rsidRPr="00A85CAE">
        <w:t xml:space="preserve">In these circumstances, the foster carer(s) must take the immediate necessary they see fit to protect the child, which may include calling the Emergency Services </w:t>
      </w:r>
      <w:proofErr w:type="gramStart"/>
      <w:r w:rsidRPr="00A85CAE">
        <w:t>e.g.</w:t>
      </w:r>
      <w:proofErr w:type="gramEnd"/>
      <w:r w:rsidRPr="00A85CAE">
        <w:t xml:space="preserve"> the Police or Ambulance Service.</w:t>
      </w:r>
    </w:p>
    <w:p w14:paraId="4BCDB843" w14:textId="77777777" w:rsidR="00852DFC" w:rsidRPr="00A85CAE" w:rsidRDefault="00852DFC" w:rsidP="00A85CAE">
      <w:pPr>
        <w:pStyle w:val="BodyText"/>
      </w:pPr>
    </w:p>
    <w:p w14:paraId="2E22ACF8" w14:textId="77777777" w:rsidR="00852DFC" w:rsidRPr="00A85CAE" w:rsidRDefault="00852DFC" w:rsidP="00A85CAE">
      <w:pPr>
        <w:pStyle w:val="BodyText"/>
        <w:ind w:left="120" w:right="566"/>
      </w:pPr>
      <w:r w:rsidRPr="00A85CAE">
        <w:t>If the child is taken to hospital or the Police are called, the foster carer(s) must inform them that there is a suspicion of significant harm.</w:t>
      </w:r>
    </w:p>
    <w:p w14:paraId="03527CA4" w14:textId="77777777" w:rsidR="00852DFC" w:rsidRPr="00A85CAE" w:rsidRDefault="00852DFC" w:rsidP="00A85CAE">
      <w:pPr>
        <w:pStyle w:val="BodyText"/>
      </w:pPr>
    </w:p>
    <w:p w14:paraId="0E844B31" w14:textId="77777777" w:rsidR="00852DFC" w:rsidRPr="00A85CAE" w:rsidRDefault="00852DFC" w:rsidP="00A85CAE">
      <w:pPr>
        <w:pStyle w:val="BodyText"/>
        <w:ind w:left="120" w:right="792"/>
      </w:pPr>
      <w:r w:rsidRPr="00A85CAE">
        <w:t>Wherever possible, the Supervising Social Worker should be contacted as soon as the foster carers become aware of the child's need for emergency attention.</w:t>
      </w:r>
    </w:p>
    <w:p w14:paraId="432EA6AB" w14:textId="77777777" w:rsidR="00A85CAE" w:rsidRDefault="00852DFC" w:rsidP="00A85CAE">
      <w:pPr>
        <w:pStyle w:val="BodyText"/>
        <w:ind w:left="120" w:right="1125"/>
      </w:pPr>
      <w:proofErr w:type="gramStart"/>
      <w:r w:rsidRPr="00A85CAE">
        <w:t>However</w:t>
      </w:r>
      <w:proofErr w:type="gramEnd"/>
      <w:r w:rsidRPr="00A85CAE">
        <w:t xml:space="preserve"> the foster carers should not delay taking action in order to do so. If the Supervising Social Worker is not contacted before the Emergency Services are contacted, s/he should be notified as soon as practicable afterwards. </w:t>
      </w:r>
    </w:p>
    <w:p w14:paraId="39BFE97C" w14:textId="77777777" w:rsidR="00A85CAE" w:rsidRDefault="00A85CAE" w:rsidP="00A85CAE">
      <w:pPr>
        <w:pStyle w:val="BodyText"/>
        <w:ind w:left="120" w:right="1125"/>
      </w:pPr>
    </w:p>
    <w:p w14:paraId="04453F58" w14:textId="6FBCD18C" w:rsidR="00852DFC" w:rsidRPr="00A85CAE" w:rsidRDefault="00852DFC" w:rsidP="00A85CAE">
      <w:pPr>
        <w:pStyle w:val="BodyText"/>
        <w:ind w:left="120" w:right="1125"/>
      </w:pPr>
      <w:r w:rsidRPr="00A85CAE">
        <w:t>The Designated Child Protection Manager will also be notified by either the Childs Social Worker, or the Carer’s Supervising Social Worker.</w:t>
      </w:r>
    </w:p>
    <w:p w14:paraId="6F9BC159" w14:textId="77777777" w:rsidR="00852DFC" w:rsidRPr="00A85CAE" w:rsidRDefault="00852DFC" w:rsidP="00A85CAE">
      <w:pPr>
        <w:pStyle w:val="BodyText"/>
      </w:pPr>
    </w:p>
    <w:p w14:paraId="45555DE1" w14:textId="77777777" w:rsidR="00852DFC" w:rsidRPr="00A85CAE" w:rsidRDefault="00852DFC" w:rsidP="00A85CAE">
      <w:pPr>
        <w:pStyle w:val="BodyText"/>
        <w:ind w:left="120" w:right="792"/>
      </w:pPr>
      <w:r w:rsidRPr="00A85CAE">
        <w:t>Once the immediate risk to the child is alleviated and the Designated Child Protection Manager has been notified, the procedures set out in Section 2.3, Referring Concerns to Children's Social Care and Others, should be followed.</w:t>
      </w:r>
    </w:p>
    <w:p w14:paraId="5F65418F" w14:textId="489AF072" w:rsidR="00852DFC" w:rsidRPr="00A85CAE" w:rsidRDefault="00852DFC" w:rsidP="00A85CAE">
      <w:pPr>
        <w:pStyle w:val="BodyText"/>
        <w:ind w:left="120" w:right="858"/>
      </w:pPr>
    </w:p>
    <w:p w14:paraId="6206335F" w14:textId="4E071CCA" w:rsidR="00852DFC" w:rsidRPr="00A85CAE" w:rsidRDefault="00852DFC" w:rsidP="00A85CAE">
      <w:pPr>
        <w:pStyle w:val="Heading2"/>
        <w:numPr>
          <w:ilvl w:val="1"/>
          <w:numId w:val="2"/>
        </w:numPr>
        <w:tabs>
          <w:tab w:val="left" w:pos="591"/>
        </w:tabs>
        <w:rPr>
          <w:sz w:val="24"/>
          <w:szCs w:val="24"/>
        </w:rPr>
      </w:pPr>
      <w:r w:rsidRPr="00A85CAE">
        <w:rPr>
          <w:sz w:val="24"/>
          <w:szCs w:val="24"/>
        </w:rPr>
        <w:t>Referring Concerns to Children's Social Care and</w:t>
      </w:r>
      <w:r w:rsidRPr="00A85CAE">
        <w:rPr>
          <w:spacing w:val="-62"/>
          <w:sz w:val="24"/>
          <w:szCs w:val="24"/>
        </w:rPr>
        <w:t xml:space="preserve">   </w:t>
      </w:r>
      <w:r w:rsidRPr="00A85CAE">
        <w:rPr>
          <w:sz w:val="24"/>
          <w:szCs w:val="24"/>
        </w:rPr>
        <w:t>Others</w:t>
      </w:r>
    </w:p>
    <w:p w14:paraId="22EDA97E" w14:textId="045C6870" w:rsidR="00852DFC" w:rsidRPr="00A85CAE" w:rsidRDefault="00852DFC" w:rsidP="00A85CAE">
      <w:pPr>
        <w:pStyle w:val="BodyText"/>
        <w:ind w:left="120" w:right="596"/>
      </w:pPr>
      <w:r w:rsidRPr="00A85CAE">
        <w:t>When a concern or allegations of significant harm has been received and reported to the Designated</w:t>
      </w:r>
      <w:r w:rsidR="00676B19" w:rsidRPr="00A85CAE">
        <w:t xml:space="preserve"> </w:t>
      </w:r>
      <w:r w:rsidR="00673ED5" w:rsidRPr="00A85CAE">
        <w:t>Fostering Senior Manager</w:t>
      </w:r>
      <w:r w:rsidRPr="00A85CAE">
        <w:t>, they should then decide whether to make a referral to the Trust's Children's Social Care</w:t>
      </w:r>
      <w:r w:rsidR="00676B19" w:rsidRPr="00A85CAE">
        <w:t xml:space="preserve"> Designated Officer (</w:t>
      </w:r>
      <w:r w:rsidR="00673ED5" w:rsidRPr="00A85CAE">
        <w:t xml:space="preserve">DO - </w:t>
      </w:r>
      <w:r w:rsidR="00676B19" w:rsidRPr="00A85CAE">
        <w:t>Formerly known as LADO)</w:t>
      </w:r>
      <w:r w:rsidRPr="00A85CAE">
        <w:t>. The referral will be made to Children's Social Care</w:t>
      </w:r>
      <w:r w:rsidR="00673ED5" w:rsidRPr="00A85CAE">
        <w:t xml:space="preserve"> Designated Officer</w:t>
      </w:r>
      <w:r w:rsidRPr="00A85CAE">
        <w:t xml:space="preserve"> for the area where the significant harm is suspected in accordance with the relevant Local Safeguarding Children Board's Child Protection</w:t>
      </w:r>
      <w:r w:rsidRPr="00A85CAE">
        <w:rPr>
          <w:spacing w:val="-19"/>
        </w:rPr>
        <w:t xml:space="preserve"> </w:t>
      </w:r>
      <w:r w:rsidRPr="00A85CAE">
        <w:t>Procedures.</w:t>
      </w:r>
    </w:p>
    <w:p w14:paraId="128C026B" w14:textId="77777777" w:rsidR="00852DFC" w:rsidRPr="00A85CAE" w:rsidRDefault="00852DFC" w:rsidP="00A85CAE">
      <w:pPr>
        <w:pStyle w:val="BodyText"/>
      </w:pPr>
    </w:p>
    <w:p w14:paraId="20458CD4" w14:textId="0EC8B199" w:rsidR="00852DFC" w:rsidRPr="00A85CAE" w:rsidRDefault="00852DFC" w:rsidP="00A85CAE">
      <w:pPr>
        <w:pStyle w:val="BodyText"/>
        <w:ind w:left="120" w:right="564"/>
      </w:pPr>
      <w:r w:rsidRPr="00A85CAE">
        <w:t>In all areas, Children's Social Care</w:t>
      </w:r>
      <w:r w:rsidR="00673ED5" w:rsidRPr="00A85CAE">
        <w:t xml:space="preserve"> DO</w:t>
      </w:r>
      <w:r w:rsidRPr="00A85CAE">
        <w:t xml:space="preserve"> will require the referral to be made in writing and should </w:t>
      </w:r>
      <w:proofErr w:type="gramStart"/>
      <w:r w:rsidRPr="00A85CAE">
        <w:t>make a decision</w:t>
      </w:r>
      <w:proofErr w:type="gramEnd"/>
      <w:r w:rsidRPr="00A85CAE">
        <w:t xml:space="preserve"> about the type of response that is required and acknowledge receipt to the referrer within one working day of receiving the referral.</w:t>
      </w:r>
    </w:p>
    <w:p w14:paraId="27385F35" w14:textId="77777777" w:rsidR="00852DFC" w:rsidRPr="00A85CAE" w:rsidRDefault="00852DFC" w:rsidP="00A85CAE">
      <w:pPr>
        <w:pStyle w:val="BodyText"/>
      </w:pPr>
    </w:p>
    <w:p w14:paraId="38A944F4" w14:textId="77777777" w:rsidR="00852DFC" w:rsidRPr="00A85CAE" w:rsidRDefault="00852DFC" w:rsidP="00A85CAE">
      <w:pPr>
        <w:pStyle w:val="BodyText"/>
        <w:ind w:left="120" w:right="1026"/>
      </w:pPr>
      <w:r w:rsidRPr="00A85CAE">
        <w:t>Where no feedback is received as to the action taken within this timescale, the fostering manager should contact Children's Social Care in order to establish the action taken.</w:t>
      </w:r>
    </w:p>
    <w:p w14:paraId="50C7102B" w14:textId="77777777" w:rsidR="00852DFC" w:rsidRPr="00A85CAE" w:rsidRDefault="00852DFC" w:rsidP="00A85CAE">
      <w:pPr>
        <w:pStyle w:val="BodyText"/>
      </w:pPr>
    </w:p>
    <w:p w14:paraId="7FC41F0E" w14:textId="77777777" w:rsidR="00852DFC" w:rsidRPr="00A85CAE" w:rsidRDefault="00852DFC" w:rsidP="00A85CAE">
      <w:pPr>
        <w:pStyle w:val="BodyText"/>
        <w:ind w:left="120" w:right="711"/>
      </w:pPr>
      <w:r w:rsidRPr="00A85CAE">
        <w:t>Once feedback is received, where there are concerns about the Children's Social Care response, the fostering manager should seek to discuss the concerns with the manager of the Children's Social Care Team dealing with the referral.</w:t>
      </w:r>
    </w:p>
    <w:p w14:paraId="21E84955" w14:textId="77777777" w:rsidR="00852DFC" w:rsidRPr="00A85CAE" w:rsidRDefault="00852DFC" w:rsidP="00A85CAE">
      <w:pPr>
        <w:pStyle w:val="BodyText"/>
      </w:pPr>
    </w:p>
    <w:p w14:paraId="6752156C" w14:textId="77777777" w:rsidR="00852DFC" w:rsidRPr="00A85CAE" w:rsidRDefault="00852DFC" w:rsidP="00A85CAE">
      <w:pPr>
        <w:pStyle w:val="BodyText"/>
        <w:ind w:left="120"/>
      </w:pPr>
      <w:r w:rsidRPr="00A85CAE">
        <w:t>The following people/agencies should also be notified that a referral has been made:</w:t>
      </w:r>
    </w:p>
    <w:p w14:paraId="2AF06987" w14:textId="2A94D088" w:rsidR="00852DFC" w:rsidRPr="00A85CAE" w:rsidRDefault="00852DFC" w:rsidP="00A85CAE">
      <w:pPr>
        <w:pStyle w:val="ListParagraph"/>
        <w:numPr>
          <w:ilvl w:val="2"/>
          <w:numId w:val="2"/>
        </w:numPr>
        <w:tabs>
          <w:tab w:val="left" w:pos="837"/>
          <w:tab w:val="left" w:pos="838"/>
        </w:tabs>
        <w:ind w:right="1052" w:hanging="360"/>
        <w:rPr>
          <w:sz w:val="24"/>
          <w:szCs w:val="24"/>
        </w:rPr>
      </w:pPr>
      <w:r w:rsidRPr="00A85CAE">
        <w:rPr>
          <w:sz w:val="24"/>
          <w:szCs w:val="24"/>
        </w:rPr>
        <w:t>The child(ren)'s social worker, who will decide when to notify the child's parents</w:t>
      </w:r>
      <w:r w:rsidRPr="00A85CAE">
        <w:rPr>
          <w:spacing w:val="-10"/>
          <w:sz w:val="24"/>
          <w:szCs w:val="24"/>
        </w:rPr>
        <w:t xml:space="preserve"> </w:t>
      </w:r>
      <w:r w:rsidRPr="00A85CAE">
        <w:rPr>
          <w:sz w:val="24"/>
          <w:szCs w:val="24"/>
        </w:rPr>
        <w:t>and</w:t>
      </w:r>
      <w:r w:rsidRPr="00A85CAE">
        <w:rPr>
          <w:spacing w:val="-3"/>
          <w:sz w:val="24"/>
          <w:szCs w:val="24"/>
        </w:rPr>
        <w:t xml:space="preserve"> </w:t>
      </w:r>
      <w:r w:rsidRPr="00A85CAE">
        <w:rPr>
          <w:sz w:val="24"/>
          <w:szCs w:val="24"/>
        </w:rPr>
        <w:t>any</w:t>
      </w:r>
      <w:r w:rsidRPr="00A85CAE">
        <w:rPr>
          <w:spacing w:val="-9"/>
          <w:sz w:val="24"/>
          <w:szCs w:val="24"/>
        </w:rPr>
        <w:t xml:space="preserve"> </w:t>
      </w:r>
      <w:r w:rsidRPr="00A85CAE">
        <w:rPr>
          <w:sz w:val="24"/>
          <w:szCs w:val="24"/>
        </w:rPr>
        <w:t>actions</w:t>
      </w:r>
      <w:r w:rsidRPr="00A85CAE">
        <w:rPr>
          <w:spacing w:val="-5"/>
          <w:sz w:val="24"/>
          <w:szCs w:val="24"/>
        </w:rPr>
        <w:t xml:space="preserve"> </w:t>
      </w:r>
      <w:r w:rsidRPr="00A85CAE">
        <w:rPr>
          <w:sz w:val="24"/>
          <w:szCs w:val="24"/>
        </w:rPr>
        <w:t>that</w:t>
      </w:r>
      <w:r w:rsidRPr="00A85CAE">
        <w:rPr>
          <w:spacing w:val="-6"/>
          <w:sz w:val="24"/>
          <w:szCs w:val="24"/>
        </w:rPr>
        <w:t xml:space="preserve"> </w:t>
      </w:r>
      <w:r w:rsidRPr="00A85CAE">
        <w:rPr>
          <w:sz w:val="24"/>
          <w:szCs w:val="24"/>
        </w:rPr>
        <w:t>need</w:t>
      </w:r>
      <w:r w:rsidRPr="00A85CAE">
        <w:rPr>
          <w:spacing w:val="-4"/>
          <w:sz w:val="24"/>
          <w:szCs w:val="24"/>
        </w:rPr>
        <w:t xml:space="preserve"> </w:t>
      </w:r>
      <w:r w:rsidRPr="00A85CAE">
        <w:rPr>
          <w:sz w:val="24"/>
          <w:szCs w:val="24"/>
        </w:rPr>
        <w:t>to</w:t>
      </w:r>
      <w:r w:rsidRPr="00A85CAE">
        <w:rPr>
          <w:spacing w:val="-6"/>
          <w:sz w:val="24"/>
          <w:szCs w:val="24"/>
        </w:rPr>
        <w:t xml:space="preserve"> </w:t>
      </w:r>
      <w:r w:rsidRPr="00A85CAE">
        <w:rPr>
          <w:sz w:val="24"/>
          <w:szCs w:val="24"/>
        </w:rPr>
        <w:t>be</w:t>
      </w:r>
      <w:r w:rsidRPr="00A85CAE">
        <w:rPr>
          <w:spacing w:val="-4"/>
          <w:sz w:val="24"/>
          <w:szCs w:val="24"/>
        </w:rPr>
        <w:t xml:space="preserve"> </w:t>
      </w:r>
      <w:r w:rsidRPr="00A85CAE">
        <w:rPr>
          <w:sz w:val="24"/>
          <w:szCs w:val="24"/>
        </w:rPr>
        <w:t>taken</w:t>
      </w:r>
      <w:r w:rsidRPr="00A85CAE">
        <w:rPr>
          <w:spacing w:val="-6"/>
          <w:sz w:val="24"/>
          <w:szCs w:val="24"/>
        </w:rPr>
        <w:t xml:space="preserve"> </w:t>
      </w:r>
      <w:r w:rsidRPr="00A85CAE">
        <w:rPr>
          <w:sz w:val="24"/>
          <w:szCs w:val="24"/>
        </w:rPr>
        <w:t>to</w:t>
      </w:r>
      <w:r w:rsidRPr="00A85CAE">
        <w:rPr>
          <w:spacing w:val="-4"/>
          <w:sz w:val="24"/>
          <w:szCs w:val="24"/>
        </w:rPr>
        <w:t xml:space="preserve"> </w:t>
      </w:r>
      <w:r w:rsidRPr="00A85CAE">
        <w:rPr>
          <w:sz w:val="24"/>
          <w:szCs w:val="24"/>
        </w:rPr>
        <w:t>protect</w:t>
      </w:r>
      <w:r w:rsidRPr="00A85CAE">
        <w:rPr>
          <w:spacing w:val="-6"/>
          <w:sz w:val="24"/>
          <w:szCs w:val="24"/>
        </w:rPr>
        <w:t xml:space="preserve"> </w:t>
      </w:r>
      <w:r w:rsidRPr="00A85CAE">
        <w:rPr>
          <w:sz w:val="24"/>
          <w:szCs w:val="24"/>
        </w:rPr>
        <w:t>the</w:t>
      </w:r>
      <w:r w:rsidRPr="00A85CAE">
        <w:rPr>
          <w:spacing w:val="-3"/>
          <w:sz w:val="24"/>
          <w:szCs w:val="24"/>
        </w:rPr>
        <w:t xml:space="preserve"> </w:t>
      </w:r>
      <w:r w:rsidRPr="00A85CAE">
        <w:rPr>
          <w:sz w:val="24"/>
          <w:szCs w:val="24"/>
        </w:rPr>
        <w:t>child(ren)</w:t>
      </w:r>
      <w:r w:rsidRPr="00A85CAE">
        <w:rPr>
          <w:spacing w:val="-34"/>
          <w:sz w:val="24"/>
          <w:szCs w:val="24"/>
        </w:rPr>
        <w:t xml:space="preserve"> </w:t>
      </w:r>
      <w:proofErr w:type="gramStart"/>
      <w:r w:rsidRPr="00A85CAE">
        <w:rPr>
          <w:sz w:val="24"/>
          <w:szCs w:val="24"/>
        </w:rPr>
        <w:t>e.g.</w:t>
      </w:r>
      <w:proofErr w:type="gramEnd"/>
      <w:r w:rsidRPr="00A85CAE">
        <w:rPr>
          <w:sz w:val="24"/>
          <w:szCs w:val="24"/>
        </w:rPr>
        <w:t xml:space="preserve"> whether it is necessary to</w:t>
      </w:r>
      <w:r w:rsidRPr="00A85CAE">
        <w:rPr>
          <w:spacing w:val="-1"/>
          <w:sz w:val="24"/>
          <w:szCs w:val="24"/>
        </w:rPr>
        <w:t xml:space="preserve"> </w:t>
      </w:r>
      <w:r w:rsidRPr="00A85CAE">
        <w:rPr>
          <w:sz w:val="24"/>
          <w:szCs w:val="24"/>
        </w:rPr>
        <w:t>change</w:t>
      </w:r>
      <w:r w:rsidR="00673ED5" w:rsidRPr="00A85CAE">
        <w:rPr>
          <w:sz w:val="24"/>
          <w:szCs w:val="24"/>
        </w:rPr>
        <w:t xml:space="preserve"> </w:t>
      </w:r>
      <w:r w:rsidRPr="00A85CAE">
        <w:rPr>
          <w:sz w:val="24"/>
          <w:szCs w:val="24"/>
        </w:rPr>
        <w:t>placements;</w:t>
      </w:r>
    </w:p>
    <w:p w14:paraId="69BD4CEB" w14:textId="77777777" w:rsidR="00852DFC" w:rsidRPr="00A85CAE" w:rsidRDefault="00852DFC" w:rsidP="00A85CAE">
      <w:pPr>
        <w:pStyle w:val="ListParagraph"/>
        <w:numPr>
          <w:ilvl w:val="2"/>
          <w:numId w:val="2"/>
        </w:numPr>
        <w:tabs>
          <w:tab w:val="left" w:pos="837"/>
          <w:tab w:val="left" w:pos="838"/>
        </w:tabs>
        <w:ind w:left="837"/>
        <w:rPr>
          <w:sz w:val="24"/>
          <w:szCs w:val="24"/>
        </w:rPr>
      </w:pPr>
      <w:r w:rsidRPr="00A85CAE">
        <w:rPr>
          <w:sz w:val="24"/>
          <w:szCs w:val="24"/>
        </w:rPr>
        <w:t>The</w:t>
      </w:r>
      <w:r w:rsidRPr="00A85CAE">
        <w:rPr>
          <w:spacing w:val="-2"/>
          <w:sz w:val="24"/>
          <w:szCs w:val="24"/>
        </w:rPr>
        <w:t xml:space="preserve"> </w:t>
      </w:r>
      <w:r w:rsidRPr="00A85CAE">
        <w:rPr>
          <w:sz w:val="24"/>
          <w:szCs w:val="24"/>
        </w:rPr>
        <w:t>Regulatory</w:t>
      </w:r>
      <w:r w:rsidRPr="00A85CAE">
        <w:rPr>
          <w:spacing w:val="-11"/>
          <w:sz w:val="24"/>
          <w:szCs w:val="24"/>
        </w:rPr>
        <w:t xml:space="preserve"> </w:t>
      </w:r>
      <w:r w:rsidRPr="00A85CAE">
        <w:rPr>
          <w:sz w:val="24"/>
          <w:szCs w:val="24"/>
        </w:rPr>
        <w:t>Authority,</w:t>
      </w:r>
      <w:r w:rsidRPr="00A85CAE">
        <w:rPr>
          <w:spacing w:val="-4"/>
          <w:sz w:val="24"/>
          <w:szCs w:val="24"/>
        </w:rPr>
        <w:t xml:space="preserve"> </w:t>
      </w:r>
      <w:r w:rsidRPr="00A85CAE">
        <w:rPr>
          <w:sz w:val="24"/>
          <w:szCs w:val="24"/>
        </w:rPr>
        <w:t>if</w:t>
      </w:r>
      <w:r w:rsidRPr="00A85CAE">
        <w:rPr>
          <w:spacing w:val="2"/>
          <w:sz w:val="24"/>
          <w:szCs w:val="24"/>
        </w:rPr>
        <w:t xml:space="preserve"> </w:t>
      </w:r>
      <w:r w:rsidRPr="00A85CAE">
        <w:rPr>
          <w:sz w:val="24"/>
          <w:szCs w:val="24"/>
        </w:rPr>
        <w:t>a</w:t>
      </w:r>
      <w:r w:rsidRPr="00A85CAE">
        <w:rPr>
          <w:spacing w:val="-7"/>
          <w:sz w:val="24"/>
          <w:szCs w:val="24"/>
        </w:rPr>
        <w:t xml:space="preserve"> </w:t>
      </w:r>
      <w:r w:rsidRPr="00A85CAE">
        <w:rPr>
          <w:sz w:val="24"/>
          <w:szCs w:val="24"/>
        </w:rPr>
        <w:t>Section</w:t>
      </w:r>
      <w:r w:rsidRPr="00A85CAE">
        <w:rPr>
          <w:spacing w:val="-4"/>
          <w:sz w:val="24"/>
          <w:szCs w:val="24"/>
        </w:rPr>
        <w:t xml:space="preserve"> </w:t>
      </w:r>
      <w:r w:rsidRPr="00A85CAE">
        <w:rPr>
          <w:sz w:val="24"/>
          <w:szCs w:val="24"/>
        </w:rPr>
        <w:t>47</w:t>
      </w:r>
      <w:r w:rsidRPr="00A85CAE">
        <w:rPr>
          <w:spacing w:val="-5"/>
          <w:sz w:val="24"/>
          <w:szCs w:val="24"/>
        </w:rPr>
        <w:t xml:space="preserve"> </w:t>
      </w:r>
      <w:r w:rsidRPr="00A85CAE">
        <w:rPr>
          <w:sz w:val="24"/>
          <w:szCs w:val="24"/>
        </w:rPr>
        <w:t>Enquiry</w:t>
      </w:r>
      <w:r w:rsidRPr="00A85CAE">
        <w:rPr>
          <w:spacing w:val="-7"/>
          <w:sz w:val="24"/>
          <w:szCs w:val="24"/>
        </w:rPr>
        <w:t xml:space="preserve"> </w:t>
      </w:r>
      <w:r w:rsidRPr="00A85CAE">
        <w:rPr>
          <w:sz w:val="24"/>
          <w:szCs w:val="24"/>
        </w:rPr>
        <w:t>is</w:t>
      </w:r>
      <w:r w:rsidRPr="00A85CAE">
        <w:rPr>
          <w:spacing w:val="-25"/>
          <w:sz w:val="24"/>
          <w:szCs w:val="24"/>
        </w:rPr>
        <w:t xml:space="preserve"> </w:t>
      </w:r>
      <w:proofErr w:type="gramStart"/>
      <w:r w:rsidRPr="00A85CAE">
        <w:rPr>
          <w:sz w:val="24"/>
          <w:szCs w:val="24"/>
        </w:rPr>
        <w:t>initiated;</w:t>
      </w:r>
      <w:proofErr w:type="gramEnd"/>
    </w:p>
    <w:p w14:paraId="7B073248" w14:textId="05EDD5FD" w:rsidR="00852DFC" w:rsidRPr="00A85CAE" w:rsidRDefault="00852DFC" w:rsidP="00A85CAE">
      <w:pPr>
        <w:pStyle w:val="ListParagraph"/>
        <w:numPr>
          <w:ilvl w:val="2"/>
          <w:numId w:val="2"/>
        </w:numPr>
        <w:tabs>
          <w:tab w:val="left" w:pos="837"/>
          <w:tab w:val="left" w:pos="838"/>
        </w:tabs>
        <w:ind w:left="837"/>
        <w:rPr>
          <w:sz w:val="24"/>
          <w:szCs w:val="24"/>
        </w:rPr>
      </w:pPr>
      <w:r w:rsidRPr="00A85CAE">
        <w:rPr>
          <w:sz w:val="24"/>
          <w:szCs w:val="24"/>
        </w:rPr>
        <w:t>The Agency Decision</w:t>
      </w:r>
      <w:r w:rsidRPr="00A85CAE">
        <w:rPr>
          <w:spacing w:val="-27"/>
          <w:sz w:val="24"/>
          <w:szCs w:val="24"/>
        </w:rPr>
        <w:t xml:space="preserve"> </w:t>
      </w:r>
      <w:r w:rsidRPr="00A85CAE">
        <w:rPr>
          <w:sz w:val="24"/>
          <w:szCs w:val="24"/>
        </w:rPr>
        <w:t>Maker.</w:t>
      </w:r>
    </w:p>
    <w:p w14:paraId="1036FA0B" w14:textId="77777777" w:rsidR="00852DFC" w:rsidRPr="00A85CAE" w:rsidRDefault="00852DFC" w:rsidP="00A85CAE">
      <w:pPr>
        <w:pStyle w:val="ListParagraph"/>
        <w:tabs>
          <w:tab w:val="left" w:pos="837"/>
          <w:tab w:val="left" w:pos="838"/>
        </w:tabs>
        <w:ind w:left="837" w:firstLine="0"/>
        <w:rPr>
          <w:sz w:val="24"/>
          <w:szCs w:val="24"/>
        </w:rPr>
      </w:pPr>
    </w:p>
    <w:p w14:paraId="32AD7886" w14:textId="77777777" w:rsidR="00852DFC" w:rsidRPr="00A85CAE" w:rsidRDefault="00852DFC" w:rsidP="00A85CAE">
      <w:pPr>
        <w:pStyle w:val="Heading2"/>
        <w:numPr>
          <w:ilvl w:val="1"/>
          <w:numId w:val="2"/>
        </w:numPr>
        <w:tabs>
          <w:tab w:val="left" w:pos="589"/>
        </w:tabs>
        <w:rPr>
          <w:sz w:val="24"/>
          <w:szCs w:val="24"/>
        </w:rPr>
      </w:pPr>
      <w:r w:rsidRPr="00A85CAE">
        <w:rPr>
          <w:sz w:val="24"/>
          <w:szCs w:val="24"/>
        </w:rPr>
        <w:t>Information</w:t>
      </w:r>
      <w:r w:rsidRPr="00A85CAE">
        <w:rPr>
          <w:spacing w:val="-21"/>
          <w:sz w:val="24"/>
          <w:szCs w:val="24"/>
        </w:rPr>
        <w:t xml:space="preserve"> </w:t>
      </w:r>
      <w:r w:rsidRPr="00A85CAE">
        <w:rPr>
          <w:sz w:val="24"/>
          <w:szCs w:val="24"/>
        </w:rPr>
        <w:t>Sharing</w:t>
      </w:r>
    </w:p>
    <w:p w14:paraId="43F58AA4" w14:textId="77777777" w:rsidR="00852DFC" w:rsidRPr="00A85CAE" w:rsidRDefault="00852DFC" w:rsidP="00A85CAE">
      <w:pPr>
        <w:pStyle w:val="BodyText"/>
        <w:ind w:left="120"/>
      </w:pPr>
      <w:r w:rsidRPr="00A85CAE">
        <w:t>See also Confidentiality and Information Sharing Procedure.</w:t>
      </w:r>
    </w:p>
    <w:p w14:paraId="3DD49261" w14:textId="77777777" w:rsidR="00852DFC" w:rsidRPr="00A85CAE" w:rsidRDefault="00852DFC" w:rsidP="00A85CAE">
      <w:pPr>
        <w:pStyle w:val="BodyText"/>
      </w:pPr>
    </w:p>
    <w:p w14:paraId="1F005879" w14:textId="77777777" w:rsidR="00852DFC" w:rsidRPr="00A85CAE" w:rsidRDefault="00852DFC" w:rsidP="00A85CAE">
      <w:pPr>
        <w:pStyle w:val="BodyText"/>
        <w:ind w:left="120" w:right="551"/>
      </w:pPr>
      <w:r w:rsidRPr="00A85CAE">
        <w:t>Under no circumstances should information about the concerns/allegations be given to a person who is implicated or against whom an allegation has been made until this has been agreed with Children's Social Care and/or the Police.</w:t>
      </w:r>
    </w:p>
    <w:p w14:paraId="6B4EED80" w14:textId="77777777" w:rsidR="00852DFC" w:rsidRPr="00A85CAE" w:rsidRDefault="00852DFC" w:rsidP="00A85CAE">
      <w:pPr>
        <w:pStyle w:val="BodyText"/>
      </w:pPr>
    </w:p>
    <w:p w14:paraId="4DFA35A5" w14:textId="77777777" w:rsidR="00852DFC" w:rsidRPr="00A85CAE" w:rsidRDefault="00852DFC" w:rsidP="00A85CAE">
      <w:pPr>
        <w:pStyle w:val="BodyText"/>
        <w:ind w:left="119" w:right="606"/>
      </w:pPr>
      <w:r w:rsidRPr="00A85CAE">
        <w:t xml:space="preserve">Information about the actions taken should be shared with the child's carers and other relevant members of staff within the agency </w:t>
      </w:r>
      <w:proofErr w:type="gramStart"/>
      <w:r w:rsidRPr="00A85CAE">
        <w:t>on the basis of</w:t>
      </w:r>
      <w:proofErr w:type="gramEnd"/>
      <w:r w:rsidRPr="00A85CAE">
        <w:t xml:space="preserve"> their need to know.</w:t>
      </w:r>
    </w:p>
    <w:p w14:paraId="12E8D562" w14:textId="77777777" w:rsidR="00852DFC" w:rsidRPr="00A85CAE" w:rsidRDefault="00852DFC" w:rsidP="00A85CAE">
      <w:pPr>
        <w:pStyle w:val="BodyText"/>
      </w:pPr>
    </w:p>
    <w:p w14:paraId="094ECD4C" w14:textId="77777777" w:rsidR="00852DFC" w:rsidRPr="00A85CAE" w:rsidRDefault="00852DFC" w:rsidP="00A85CAE">
      <w:pPr>
        <w:pStyle w:val="BodyText"/>
        <w:ind w:left="120" w:right="866"/>
      </w:pPr>
      <w:r w:rsidRPr="00A85CAE">
        <w:t xml:space="preserve">Where there are concerns about significant harm to a child and this leads to an Assessment by Children's Social Care, full information about the child should be shared with Children's Social Care </w:t>
      </w:r>
      <w:proofErr w:type="gramStart"/>
      <w:r w:rsidRPr="00A85CAE">
        <w:t>in order for</w:t>
      </w:r>
      <w:proofErr w:type="gramEnd"/>
      <w:r w:rsidRPr="00A85CAE">
        <w:t xml:space="preserve"> the necessary assessments to take account of the full picture in relation to the child.</w:t>
      </w:r>
    </w:p>
    <w:p w14:paraId="2F269508" w14:textId="77777777" w:rsidR="00852DFC" w:rsidRPr="00A85CAE" w:rsidRDefault="00852DFC" w:rsidP="00A85CAE">
      <w:pPr>
        <w:pStyle w:val="BodyText"/>
      </w:pPr>
    </w:p>
    <w:p w14:paraId="76302520" w14:textId="77777777" w:rsidR="00852DFC" w:rsidRPr="00A85CAE" w:rsidRDefault="00852DFC" w:rsidP="00A85CAE">
      <w:pPr>
        <w:pStyle w:val="Heading1"/>
        <w:numPr>
          <w:ilvl w:val="0"/>
          <w:numId w:val="2"/>
        </w:numPr>
        <w:tabs>
          <w:tab w:val="left" w:pos="562"/>
        </w:tabs>
        <w:rPr>
          <w:b/>
          <w:bCs/>
          <w:sz w:val="24"/>
          <w:szCs w:val="24"/>
        </w:rPr>
      </w:pPr>
      <w:bookmarkStart w:id="4" w:name="3._Section_47_Enquiries"/>
      <w:bookmarkEnd w:id="4"/>
      <w:r w:rsidRPr="00A85CAE">
        <w:rPr>
          <w:b/>
          <w:bCs/>
          <w:sz w:val="24"/>
          <w:szCs w:val="24"/>
        </w:rPr>
        <w:t>Section 47</w:t>
      </w:r>
      <w:r w:rsidRPr="00A85CAE">
        <w:rPr>
          <w:b/>
          <w:bCs/>
          <w:spacing w:val="-10"/>
          <w:sz w:val="24"/>
          <w:szCs w:val="24"/>
        </w:rPr>
        <w:t xml:space="preserve"> </w:t>
      </w:r>
      <w:r w:rsidRPr="00A85CAE">
        <w:rPr>
          <w:b/>
          <w:bCs/>
          <w:sz w:val="24"/>
          <w:szCs w:val="24"/>
        </w:rPr>
        <w:t>Enquiries</w:t>
      </w:r>
    </w:p>
    <w:p w14:paraId="300D38EF" w14:textId="44A5C239" w:rsidR="00852DFC" w:rsidRPr="00A85CAE" w:rsidRDefault="00852DFC" w:rsidP="00A85CAE">
      <w:pPr>
        <w:pStyle w:val="BodyText"/>
        <w:ind w:left="120" w:right="592"/>
      </w:pPr>
      <w:r w:rsidRPr="00A85CAE">
        <w:t xml:space="preserve">Where </w:t>
      </w:r>
      <w:r w:rsidR="00C54C67">
        <w:t>Bradford Children’s Trust</w:t>
      </w:r>
      <w:r w:rsidRPr="00A85CAE">
        <w:t xml:space="preserve"> decides to undertake a Section 47 Enquiry </w:t>
      </w:r>
      <w:proofErr w:type="gramStart"/>
      <w:r w:rsidRPr="00A85CAE">
        <w:t>as a result of</w:t>
      </w:r>
      <w:proofErr w:type="gramEnd"/>
      <w:r w:rsidRPr="00A85CAE">
        <w:t xml:space="preserve"> the referral, the agen</w:t>
      </w:r>
      <w:r w:rsidR="00C54C67">
        <w:t>cy</w:t>
      </w:r>
      <w:r w:rsidRPr="00A85CAE">
        <w:t xml:space="preserve"> will cooperate fully with the </w:t>
      </w:r>
      <w:r w:rsidR="00C54C67">
        <w:t>Trust</w:t>
      </w:r>
      <w:r w:rsidRPr="00A85CAE">
        <w:t xml:space="preserve">, attend Strategy Meetings as required and share information from their case records in order to assist </w:t>
      </w:r>
      <w:r w:rsidR="00C54C67">
        <w:t>Bradford Children’s Trust</w:t>
      </w:r>
      <w:r w:rsidRPr="00A85CAE">
        <w:t xml:space="preserve"> to take account fully of all the available background information.</w:t>
      </w:r>
    </w:p>
    <w:p w14:paraId="064DE97E" w14:textId="77777777" w:rsidR="00852DFC" w:rsidRPr="00A85CAE" w:rsidRDefault="00852DFC" w:rsidP="00A85CAE">
      <w:pPr>
        <w:pStyle w:val="BodyText"/>
      </w:pPr>
    </w:p>
    <w:p w14:paraId="4E6BC2AF" w14:textId="2618EFA2" w:rsidR="00852DFC" w:rsidRPr="00A85CAE" w:rsidRDefault="00852DFC" w:rsidP="00A85CAE">
      <w:pPr>
        <w:pStyle w:val="BodyText"/>
        <w:ind w:left="120" w:right="1427"/>
        <w:sectPr w:rsidR="00852DFC" w:rsidRPr="00A85CAE" w:rsidSect="00A85CAE">
          <w:headerReference w:type="default" r:id="rId14"/>
          <w:footerReference w:type="default" r:id="rId15"/>
          <w:pgSz w:w="11930" w:h="16860"/>
          <w:pgMar w:top="1000" w:right="900" w:bottom="780" w:left="1320" w:header="510" w:footer="510" w:gutter="0"/>
          <w:pgNumType w:start="1"/>
          <w:cols w:space="720"/>
          <w:docGrid w:linePitch="299"/>
        </w:sectPr>
      </w:pPr>
      <w:r w:rsidRPr="00A85CAE">
        <w:t>The agency will agree with Children's Social Care who will be responsible for notifying the Regulatory Auth</w:t>
      </w:r>
      <w:r w:rsidR="00676B19" w:rsidRPr="00A85CAE">
        <w:t>ority, and keeping them upda</w:t>
      </w:r>
      <w:r w:rsidR="00A85CAE">
        <w:t>ted.</w:t>
      </w:r>
    </w:p>
    <w:p w14:paraId="6BD14829" w14:textId="77777777" w:rsidR="000D5417" w:rsidRPr="00A85CAE" w:rsidRDefault="000D5417" w:rsidP="00A85CAE">
      <w:pPr>
        <w:rPr>
          <w:sz w:val="24"/>
          <w:szCs w:val="24"/>
        </w:rPr>
        <w:sectPr w:rsidR="000D5417" w:rsidRPr="00A85CAE">
          <w:pgSz w:w="11930" w:h="16860"/>
          <w:pgMar w:top="1000" w:right="900" w:bottom="780" w:left="1320" w:header="571" w:footer="600" w:gutter="0"/>
          <w:cols w:space="720"/>
        </w:sectPr>
      </w:pPr>
      <w:bookmarkStart w:id="5" w:name="2._Reporting_Suspicions_or_Allegations"/>
      <w:bookmarkStart w:id="6" w:name="2.1_Receiving/Reporting_Concerns/Allegat"/>
      <w:bookmarkEnd w:id="5"/>
      <w:bookmarkEnd w:id="6"/>
    </w:p>
    <w:p w14:paraId="3C154075" w14:textId="77777777" w:rsidR="000D5417" w:rsidRPr="00A85CAE" w:rsidRDefault="000D5417" w:rsidP="00A85CAE">
      <w:pPr>
        <w:rPr>
          <w:sz w:val="24"/>
          <w:szCs w:val="24"/>
        </w:rPr>
        <w:sectPr w:rsidR="000D5417" w:rsidRPr="00A85CAE">
          <w:pgSz w:w="11930" w:h="16860"/>
          <w:pgMar w:top="1000" w:right="900" w:bottom="780" w:left="1320" w:header="571" w:footer="600" w:gutter="0"/>
          <w:cols w:space="720"/>
        </w:sectPr>
      </w:pPr>
      <w:bookmarkStart w:id="7" w:name="2.2_Emergency_Action"/>
      <w:bookmarkEnd w:id="7"/>
    </w:p>
    <w:p w14:paraId="2D8664F6" w14:textId="77777777" w:rsidR="000D5417" w:rsidRPr="00A85CAE" w:rsidRDefault="000D5417" w:rsidP="00C54C67">
      <w:pPr>
        <w:rPr>
          <w:sz w:val="24"/>
          <w:szCs w:val="24"/>
        </w:rPr>
      </w:pPr>
      <w:bookmarkStart w:id="8" w:name="2.4_Information_Sharing"/>
      <w:bookmarkEnd w:id="8"/>
    </w:p>
    <w:sectPr w:rsidR="000D5417" w:rsidRPr="00A85CAE">
      <w:pgSz w:w="11930" w:h="16860"/>
      <w:pgMar w:top="1000" w:right="900" w:bottom="780" w:left="1320" w:header="571"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9EED" w14:textId="77777777" w:rsidR="0029320D" w:rsidRDefault="0029320D" w:rsidP="000D5417">
      <w:r>
        <w:separator/>
      </w:r>
    </w:p>
  </w:endnote>
  <w:endnote w:type="continuationSeparator" w:id="0">
    <w:p w14:paraId="449D32E4" w14:textId="77777777" w:rsidR="0029320D" w:rsidRDefault="0029320D" w:rsidP="000D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407"/>
      <w:docPartObj>
        <w:docPartGallery w:val="Page Numbers (Bottom of Page)"/>
        <w:docPartUnique/>
      </w:docPartObj>
    </w:sdtPr>
    <w:sdtEndPr>
      <w:rPr>
        <w:noProof/>
      </w:rPr>
    </w:sdtEndPr>
    <w:sdtContent>
      <w:p w14:paraId="0249A0EC" w14:textId="557EF5F5" w:rsidR="00A85CAE" w:rsidRDefault="00A85CAE">
        <w:pPr>
          <w:pStyle w:val="Footer"/>
        </w:pPr>
        <w:r>
          <w:fldChar w:fldCharType="begin"/>
        </w:r>
        <w:r>
          <w:instrText xml:space="preserve"> PAGE   \* MERGEFORMAT </w:instrText>
        </w:r>
        <w:r>
          <w:fldChar w:fldCharType="separate"/>
        </w:r>
        <w:r>
          <w:rPr>
            <w:noProof/>
          </w:rPr>
          <w:t>2</w:t>
        </w:r>
        <w:r>
          <w:rPr>
            <w:noProof/>
          </w:rPr>
          <w:fldChar w:fldCharType="end"/>
        </w:r>
      </w:p>
    </w:sdtContent>
  </w:sdt>
  <w:p w14:paraId="7451032B" w14:textId="7E72784F" w:rsidR="008C46FE" w:rsidRDefault="008C46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3F21" w14:textId="77777777" w:rsidR="0029320D" w:rsidRDefault="0029320D" w:rsidP="000D5417">
      <w:r>
        <w:separator/>
      </w:r>
    </w:p>
  </w:footnote>
  <w:footnote w:type="continuationSeparator" w:id="0">
    <w:p w14:paraId="1B886838" w14:textId="77777777" w:rsidR="0029320D" w:rsidRDefault="0029320D" w:rsidP="000D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5118" w14:textId="2A6FD566" w:rsidR="00A85CAE" w:rsidRDefault="00A85CAE">
    <w:pPr>
      <w:pStyle w:val="Header"/>
    </w:pPr>
    <w:r>
      <w:rPr>
        <w:noProof/>
        <w:lang w:eastAsia="en-GB"/>
      </w:rPr>
      <w:drawing>
        <wp:inline distT="0" distB="0" distL="0" distR="0" wp14:anchorId="43C3F863" wp14:editId="501CCE8C">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0399AA21" wp14:editId="39206524">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3F4404EA" w14:textId="2D71D79C" w:rsidR="008C46FE" w:rsidRDefault="008C46F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5BC1"/>
    <w:multiLevelType w:val="multilevel"/>
    <w:tmpl w:val="309C413C"/>
    <w:lvl w:ilvl="0">
      <w:start w:val="1"/>
      <w:numFmt w:val="decimal"/>
      <w:lvlText w:val="%1."/>
      <w:lvlJc w:val="left"/>
      <w:pPr>
        <w:ind w:left="561" w:hanging="442"/>
      </w:pPr>
      <w:rPr>
        <w:rFonts w:ascii="Arial" w:eastAsia="Arial" w:hAnsi="Arial" w:cs="Arial" w:hint="default"/>
        <w:w w:val="100"/>
        <w:sz w:val="24"/>
        <w:szCs w:val="24"/>
        <w:lang w:val="en-US" w:eastAsia="en-US" w:bidi="ar-SA"/>
      </w:rPr>
    </w:lvl>
    <w:lvl w:ilvl="1">
      <w:start w:val="1"/>
      <w:numFmt w:val="decimal"/>
      <w:lvlText w:val="%1.%2"/>
      <w:lvlJc w:val="left"/>
      <w:pPr>
        <w:ind w:left="590" w:hanging="471"/>
      </w:pPr>
      <w:rPr>
        <w:rFonts w:ascii="Arial" w:eastAsia="Arial" w:hAnsi="Arial" w:cs="Arial" w:hint="default"/>
        <w:b/>
        <w:bCs/>
        <w:spacing w:val="-3"/>
        <w:w w:val="100"/>
        <w:sz w:val="24"/>
        <w:szCs w:val="24"/>
        <w:lang w:val="en-US" w:eastAsia="en-US" w:bidi="ar-SA"/>
      </w:rPr>
    </w:lvl>
    <w:lvl w:ilvl="2">
      <w:numFmt w:val="bullet"/>
      <w:lvlText w:val=""/>
      <w:lvlJc w:val="left"/>
      <w:pPr>
        <w:ind w:left="840" w:hanging="358"/>
      </w:pPr>
      <w:rPr>
        <w:rFonts w:ascii="Symbol" w:eastAsia="Symbol" w:hAnsi="Symbol" w:cs="Symbol" w:hint="default"/>
        <w:w w:val="100"/>
        <w:sz w:val="24"/>
        <w:szCs w:val="24"/>
        <w:lang w:val="en-US" w:eastAsia="en-US" w:bidi="ar-SA"/>
      </w:rPr>
    </w:lvl>
    <w:lvl w:ilvl="3">
      <w:numFmt w:val="bullet"/>
      <w:lvlText w:val="•"/>
      <w:lvlJc w:val="left"/>
      <w:pPr>
        <w:ind w:left="1947" w:hanging="358"/>
      </w:pPr>
      <w:rPr>
        <w:rFonts w:hint="default"/>
        <w:lang w:val="en-US" w:eastAsia="en-US" w:bidi="ar-SA"/>
      </w:rPr>
    </w:lvl>
    <w:lvl w:ilvl="4">
      <w:numFmt w:val="bullet"/>
      <w:lvlText w:val="•"/>
      <w:lvlJc w:val="left"/>
      <w:pPr>
        <w:ind w:left="3055" w:hanging="358"/>
      </w:pPr>
      <w:rPr>
        <w:rFonts w:hint="default"/>
        <w:lang w:val="en-US" w:eastAsia="en-US" w:bidi="ar-SA"/>
      </w:rPr>
    </w:lvl>
    <w:lvl w:ilvl="5">
      <w:numFmt w:val="bullet"/>
      <w:lvlText w:val="•"/>
      <w:lvlJc w:val="left"/>
      <w:pPr>
        <w:ind w:left="4162" w:hanging="358"/>
      </w:pPr>
      <w:rPr>
        <w:rFonts w:hint="default"/>
        <w:lang w:val="en-US" w:eastAsia="en-US" w:bidi="ar-SA"/>
      </w:rPr>
    </w:lvl>
    <w:lvl w:ilvl="6">
      <w:numFmt w:val="bullet"/>
      <w:lvlText w:val="•"/>
      <w:lvlJc w:val="left"/>
      <w:pPr>
        <w:ind w:left="5270" w:hanging="358"/>
      </w:pPr>
      <w:rPr>
        <w:rFonts w:hint="default"/>
        <w:lang w:val="en-US" w:eastAsia="en-US" w:bidi="ar-SA"/>
      </w:rPr>
    </w:lvl>
    <w:lvl w:ilvl="7">
      <w:numFmt w:val="bullet"/>
      <w:lvlText w:val="•"/>
      <w:lvlJc w:val="left"/>
      <w:pPr>
        <w:ind w:left="6378" w:hanging="358"/>
      </w:pPr>
      <w:rPr>
        <w:rFonts w:hint="default"/>
        <w:lang w:val="en-US" w:eastAsia="en-US" w:bidi="ar-SA"/>
      </w:rPr>
    </w:lvl>
    <w:lvl w:ilvl="8">
      <w:numFmt w:val="bullet"/>
      <w:lvlText w:val="•"/>
      <w:lvlJc w:val="left"/>
      <w:pPr>
        <w:ind w:left="7485" w:hanging="358"/>
      </w:pPr>
      <w:rPr>
        <w:rFonts w:hint="default"/>
        <w:lang w:val="en-US" w:eastAsia="en-US" w:bidi="ar-SA"/>
      </w:rPr>
    </w:lvl>
  </w:abstractNum>
  <w:abstractNum w:abstractNumId="1" w15:restartNumberingAfterBreak="0">
    <w:nsid w:val="45D11885"/>
    <w:multiLevelType w:val="hybridMultilevel"/>
    <w:tmpl w:val="DA441954"/>
    <w:lvl w:ilvl="0" w:tplc="1E9ED462">
      <w:numFmt w:val="bullet"/>
      <w:lvlText w:val=""/>
      <w:lvlJc w:val="left"/>
      <w:pPr>
        <w:ind w:left="480" w:hanging="360"/>
      </w:pPr>
      <w:rPr>
        <w:rFonts w:ascii="Symbol" w:eastAsia="Symbol" w:hAnsi="Symbol" w:cs="Symbol" w:hint="default"/>
        <w:w w:val="100"/>
        <w:sz w:val="24"/>
        <w:szCs w:val="24"/>
        <w:lang w:val="en-US" w:eastAsia="en-US" w:bidi="ar-SA"/>
      </w:rPr>
    </w:lvl>
    <w:lvl w:ilvl="1" w:tplc="6058935A">
      <w:numFmt w:val="bullet"/>
      <w:lvlText w:val="•"/>
      <w:lvlJc w:val="left"/>
      <w:pPr>
        <w:ind w:left="1402" w:hanging="360"/>
      </w:pPr>
      <w:rPr>
        <w:rFonts w:hint="default"/>
        <w:lang w:val="en-US" w:eastAsia="en-US" w:bidi="ar-SA"/>
      </w:rPr>
    </w:lvl>
    <w:lvl w:ilvl="2" w:tplc="85EC1F20">
      <w:numFmt w:val="bullet"/>
      <w:lvlText w:val="•"/>
      <w:lvlJc w:val="left"/>
      <w:pPr>
        <w:ind w:left="2324" w:hanging="360"/>
      </w:pPr>
      <w:rPr>
        <w:rFonts w:hint="default"/>
        <w:lang w:val="en-US" w:eastAsia="en-US" w:bidi="ar-SA"/>
      </w:rPr>
    </w:lvl>
    <w:lvl w:ilvl="3" w:tplc="8048F318">
      <w:numFmt w:val="bullet"/>
      <w:lvlText w:val="•"/>
      <w:lvlJc w:val="left"/>
      <w:pPr>
        <w:ind w:left="3246" w:hanging="360"/>
      </w:pPr>
      <w:rPr>
        <w:rFonts w:hint="default"/>
        <w:lang w:val="en-US" w:eastAsia="en-US" w:bidi="ar-SA"/>
      </w:rPr>
    </w:lvl>
    <w:lvl w:ilvl="4" w:tplc="9D64777E">
      <w:numFmt w:val="bullet"/>
      <w:lvlText w:val="•"/>
      <w:lvlJc w:val="left"/>
      <w:pPr>
        <w:ind w:left="4168" w:hanging="360"/>
      </w:pPr>
      <w:rPr>
        <w:rFonts w:hint="default"/>
        <w:lang w:val="en-US" w:eastAsia="en-US" w:bidi="ar-SA"/>
      </w:rPr>
    </w:lvl>
    <w:lvl w:ilvl="5" w:tplc="916A12A2">
      <w:numFmt w:val="bullet"/>
      <w:lvlText w:val="•"/>
      <w:lvlJc w:val="left"/>
      <w:pPr>
        <w:ind w:left="5090" w:hanging="360"/>
      </w:pPr>
      <w:rPr>
        <w:rFonts w:hint="default"/>
        <w:lang w:val="en-US" w:eastAsia="en-US" w:bidi="ar-SA"/>
      </w:rPr>
    </w:lvl>
    <w:lvl w:ilvl="6" w:tplc="136ED228">
      <w:numFmt w:val="bullet"/>
      <w:lvlText w:val="•"/>
      <w:lvlJc w:val="left"/>
      <w:pPr>
        <w:ind w:left="6012" w:hanging="360"/>
      </w:pPr>
      <w:rPr>
        <w:rFonts w:hint="default"/>
        <w:lang w:val="en-US" w:eastAsia="en-US" w:bidi="ar-SA"/>
      </w:rPr>
    </w:lvl>
    <w:lvl w:ilvl="7" w:tplc="F4B090FA">
      <w:numFmt w:val="bullet"/>
      <w:lvlText w:val="•"/>
      <w:lvlJc w:val="left"/>
      <w:pPr>
        <w:ind w:left="6934" w:hanging="360"/>
      </w:pPr>
      <w:rPr>
        <w:rFonts w:hint="default"/>
        <w:lang w:val="en-US" w:eastAsia="en-US" w:bidi="ar-SA"/>
      </w:rPr>
    </w:lvl>
    <w:lvl w:ilvl="8" w:tplc="714A8982">
      <w:numFmt w:val="bullet"/>
      <w:lvlText w:val="•"/>
      <w:lvlJc w:val="left"/>
      <w:pPr>
        <w:ind w:left="7856" w:hanging="360"/>
      </w:pPr>
      <w:rPr>
        <w:rFonts w:hint="default"/>
        <w:lang w:val="en-US" w:eastAsia="en-US" w:bidi="ar-SA"/>
      </w:rPr>
    </w:lvl>
  </w:abstractNum>
  <w:abstractNum w:abstractNumId="2" w15:restartNumberingAfterBreak="0">
    <w:nsid w:val="47FE225A"/>
    <w:multiLevelType w:val="hybridMultilevel"/>
    <w:tmpl w:val="38C8C05E"/>
    <w:lvl w:ilvl="0" w:tplc="590A4F78">
      <w:start w:val="1"/>
      <w:numFmt w:val="decimal"/>
      <w:lvlText w:val="%1."/>
      <w:lvlJc w:val="left"/>
      <w:pPr>
        <w:ind w:left="480" w:hanging="360"/>
      </w:pPr>
      <w:rPr>
        <w:rFonts w:ascii="Arial" w:eastAsia="Arial" w:hAnsi="Arial" w:cs="Arial" w:hint="default"/>
        <w:spacing w:val="-8"/>
        <w:w w:val="98"/>
        <w:sz w:val="24"/>
        <w:szCs w:val="24"/>
        <w:lang w:val="en-US" w:eastAsia="en-US" w:bidi="ar-SA"/>
      </w:rPr>
    </w:lvl>
    <w:lvl w:ilvl="1" w:tplc="02200050">
      <w:numFmt w:val="bullet"/>
      <w:lvlText w:val="•"/>
      <w:lvlJc w:val="left"/>
      <w:pPr>
        <w:ind w:left="1402" w:hanging="360"/>
      </w:pPr>
      <w:rPr>
        <w:rFonts w:hint="default"/>
        <w:lang w:val="en-US" w:eastAsia="en-US" w:bidi="ar-SA"/>
      </w:rPr>
    </w:lvl>
    <w:lvl w:ilvl="2" w:tplc="3C6A2908">
      <w:numFmt w:val="bullet"/>
      <w:lvlText w:val="•"/>
      <w:lvlJc w:val="left"/>
      <w:pPr>
        <w:ind w:left="2324" w:hanging="360"/>
      </w:pPr>
      <w:rPr>
        <w:rFonts w:hint="default"/>
        <w:lang w:val="en-US" w:eastAsia="en-US" w:bidi="ar-SA"/>
      </w:rPr>
    </w:lvl>
    <w:lvl w:ilvl="3" w:tplc="5AACFEBC">
      <w:numFmt w:val="bullet"/>
      <w:lvlText w:val="•"/>
      <w:lvlJc w:val="left"/>
      <w:pPr>
        <w:ind w:left="3246" w:hanging="360"/>
      </w:pPr>
      <w:rPr>
        <w:rFonts w:hint="default"/>
        <w:lang w:val="en-US" w:eastAsia="en-US" w:bidi="ar-SA"/>
      </w:rPr>
    </w:lvl>
    <w:lvl w:ilvl="4" w:tplc="19482590">
      <w:numFmt w:val="bullet"/>
      <w:lvlText w:val="•"/>
      <w:lvlJc w:val="left"/>
      <w:pPr>
        <w:ind w:left="4168" w:hanging="360"/>
      </w:pPr>
      <w:rPr>
        <w:rFonts w:hint="default"/>
        <w:lang w:val="en-US" w:eastAsia="en-US" w:bidi="ar-SA"/>
      </w:rPr>
    </w:lvl>
    <w:lvl w:ilvl="5" w:tplc="68AC2012">
      <w:numFmt w:val="bullet"/>
      <w:lvlText w:val="•"/>
      <w:lvlJc w:val="left"/>
      <w:pPr>
        <w:ind w:left="5090" w:hanging="360"/>
      </w:pPr>
      <w:rPr>
        <w:rFonts w:hint="default"/>
        <w:lang w:val="en-US" w:eastAsia="en-US" w:bidi="ar-SA"/>
      </w:rPr>
    </w:lvl>
    <w:lvl w:ilvl="6" w:tplc="9AF8B590">
      <w:numFmt w:val="bullet"/>
      <w:lvlText w:val="•"/>
      <w:lvlJc w:val="left"/>
      <w:pPr>
        <w:ind w:left="6012" w:hanging="360"/>
      </w:pPr>
      <w:rPr>
        <w:rFonts w:hint="default"/>
        <w:lang w:val="en-US" w:eastAsia="en-US" w:bidi="ar-SA"/>
      </w:rPr>
    </w:lvl>
    <w:lvl w:ilvl="7" w:tplc="F07A2D60">
      <w:numFmt w:val="bullet"/>
      <w:lvlText w:val="•"/>
      <w:lvlJc w:val="left"/>
      <w:pPr>
        <w:ind w:left="6934" w:hanging="360"/>
      </w:pPr>
      <w:rPr>
        <w:rFonts w:hint="default"/>
        <w:lang w:val="en-US" w:eastAsia="en-US" w:bidi="ar-SA"/>
      </w:rPr>
    </w:lvl>
    <w:lvl w:ilvl="8" w:tplc="4AB22052">
      <w:numFmt w:val="bullet"/>
      <w:lvlText w:val="•"/>
      <w:lvlJc w:val="left"/>
      <w:pPr>
        <w:ind w:left="7856" w:hanging="360"/>
      </w:pPr>
      <w:rPr>
        <w:rFonts w:hint="default"/>
        <w:lang w:val="en-US" w:eastAsia="en-US" w:bidi="ar-SA"/>
      </w:rPr>
    </w:lvl>
  </w:abstractNum>
  <w:num w:numId="1" w16cid:durableId="2124685520">
    <w:abstractNumId w:val="1"/>
  </w:num>
  <w:num w:numId="2" w16cid:durableId="1335759766">
    <w:abstractNumId w:val="0"/>
  </w:num>
  <w:num w:numId="3" w16cid:durableId="61421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17"/>
    <w:rsid w:val="000D5417"/>
    <w:rsid w:val="00121A40"/>
    <w:rsid w:val="001A601B"/>
    <w:rsid w:val="001F38C7"/>
    <w:rsid w:val="0029320D"/>
    <w:rsid w:val="00673ED5"/>
    <w:rsid w:val="00676B19"/>
    <w:rsid w:val="0075204E"/>
    <w:rsid w:val="00835FE8"/>
    <w:rsid w:val="00852DFC"/>
    <w:rsid w:val="008C46FE"/>
    <w:rsid w:val="0095019B"/>
    <w:rsid w:val="00A85CAE"/>
    <w:rsid w:val="00C5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436B"/>
  <w15:chartTrackingRefBased/>
  <w15:docId w15:val="{D5021ADD-598C-4EE6-B2D7-0ED0FE7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17"/>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0D5417"/>
    <w:pPr>
      <w:ind w:left="561" w:hanging="442"/>
      <w:outlineLvl w:val="0"/>
    </w:pPr>
    <w:rPr>
      <w:sz w:val="40"/>
      <w:szCs w:val="40"/>
    </w:rPr>
  </w:style>
  <w:style w:type="paragraph" w:styleId="Heading2">
    <w:name w:val="heading 2"/>
    <w:basedOn w:val="Normal"/>
    <w:link w:val="Heading2Char"/>
    <w:uiPriority w:val="9"/>
    <w:unhideWhenUsed/>
    <w:qFormat/>
    <w:rsid w:val="000D5417"/>
    <w:pPr>
      <w:ind w:left="588" w:hanging="471"/>
      <w:outlineLvl w:val="1"/>
    </w:pPr>
    <w:rPr>
      <w:b/>
      <w:bCs/>
      <w:sz w:val="28"/>
      <w:szCs w:val="28"/>
    </w:rPr>
  </w:style>
  <w:style w:type="paragraph" w:styleId="Heading3">
    <w:name w:val="heading 3"/>
    <w:basedOn w:val="Normal"/>
    <w:link w:val="Heading3Char"/>
    <w:uiPriority w:val="9"/>
    <w:unhideWhenUsed/>
    <w:qFormat/>
    <w:rsid w:val="000D5417"/>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17"/>
    <w:rPr>
      <w:rFonts w:ascii="Arial" w:eastAsia="Arial" w:hAnsi="Arial" w:cs="Arial"/>
      <w:kern w:val="0"/>
      <w:sz w:val="40"/>
      <w:szCs w:val="40"/>
      <w:lang w:val="en-US"/>
      <w14:ligatures w14:val="none"/>
    </w:rPr>
  </w:style>
  <w:style w:type="character" w:customStyle="1" w:styleId="Heading2Char">
    <w:name w:val="Heading 2 Char"/>
    <w:basedOn w:val="DefaultParagraphFont"/>
    <w:link w:val="Heading2"/>
    <w:uiPriority w:val="9"/>
    <w:rsid w:val="000D5417"/>
    <w:rPr>
      <w:rFonts w:ascii="Arial" w:eastAsia="Arial" w:hAnsi="Arial" w:cs="Arial"/>
      <w:b/>
      <w:bCs/>
      <w:kern w:val="0"/>
      <w:sz w:val="28"/>
      <w:szCs w:val="28"/>
      <w:lang w:val="en-US"/>
      <w14:ligatures w14:val="none"/>
    </w:rPr>
  </w:style>
  <w:style w:type="character" w:customStyle="1" w:styleId="Heading3Char">
    <w:name w:val="Heading 3 Char"/>
    <w:basedOn w:val="DefaultParagraphFont"/>
    <w:link w:val="Heading3"/>
    <w:uiPriority w:val="9"/>
    <w:rsid w:val="000D5417"/>
    <w:rPr>
      <w:rFonts w:ascii="Arial" w:eastAsia="Arial" w:hAnsi="Arial" w:cs="Arial"/>
      <w:b/>
      <w:bCs/>
      <w:kern w:val="0"/>
      <w:sz w:val="24"/>
      <w:szCs w:val="24"/>
      <w:lang w:val="en-US"/>
      <w14:ligatures w14:val="none"/>
    </w:rPr>
  </w:style>
  <w:style w:type="paragraph" w:styleId="BodyText">
    <w:name w:val="Body Text"/>
    <w:basedOn w:val="Normal"/>
    <w:link w:val="BodyTextChar"/>
    <w:uiPriority w:val="1"/>
    <w:qFormat/>
    <w:rsid w:val="000D5417"/>
    <w:rPr>
      <w:sz w:val="24"/>
      <w:szCs w:val="24"/>
    </w:rPr>
  </w:style>
  <w:style w:type="character" w:customStyle="1" w:styleId="BodyTextChar">
    <w:name w:val="Body Text Char"/>
    <w:basedOn w:val="DefaultParagraphFont"/>
    <w:link w:val="BodyText"/>
    <w:uiPriority w:val="1"/>
    <w:rsid w:val="000D5417"/>
    <w:rPr>
      <w:rFonts w:ascii="Arial" w:eastAsia="Arial" w:hAnsi="Arial" w:cs="Arial"/>
      <w:kern w:val="0"/>
      <w:sz w:val="24"/>
      <w:szCs w:val="24"/>
      <w:lang w:val="en-US"/>
      <w14:ligatures w14:val="none"/>
    </w:rPr>
  </w:style>
  <w:style w:type="paragraph" w:styleId="ListParagraph">
    <w:name w:val="List Paragraph"/>
    <w:basedOn w:val="Normal"/>
    <w:uiPriority w:val="1"/>
    <w:qFormat/>
    <w:rsid w:val="000D5417"/>
    <w:pPr>
      <w:ind w:left="480" w:hanging="360"/>
    </w:pPr>
  </w:style>
  <w:style w:type="paragraph" w:styleId="Header">
    <w:name w:val="header"/>
    <w:basedOn w:val="Normal"/>
    <w:link w:val="HeaderChar"/>
    <w:uiPriority w:val="99"/>
    <w:unhideWhenUsed/>
    <w:rsid w:val="000D5417"/>
    <w:pPr>
      <w:tabs>
        <w:tab w:val="center" w:pos="4513"/>
        <w:tab w:val="right" w:pos="9026"/>
      </w:tabs>
    </w:pPr>
  </w:style>
  <w:style w:type="character" w:customStyle="1" w:styleId="HeaderChar">
    <w:name w:val="Header Char"/>
    <w:basedOn w:val="DefaultParagraphFont"/>
    <w:link w:val="Header"/>
    <w:uiPriority w:val="99"/>
    <w:rsid w:val="000D5417"/>
    <w:rPr>
      <w:rFonts w:ascii="Arial" w:eastAsia="Arial" w:hAnsi="Arial" w:cs="Arial"/>
      <w:kern w:val="0"/>
      <w:lang w:val="en-US"/>
      <w14:ligatures w14:val="none"/>
    </w:rPr>
  </w:style>
  <w:style w:type="paragraph" w:styleId="Footer">
    <w:name w:val="footer"/>
    <w:basedOn w:val="Normal"/>
    <w:link w:val="FooterChar"/>
    <w:uiPriority w:val="99"/>
    <w:unhideWhenUsed/>
    <w:rsid w:val="000D5417"/>
    <w:pPr>
      <w:tabs>
        <w:tab w:val="center" w:pos="4513"/>
        <w:tab w:val="right" w:pos="9026"/>
      </w:tabs>
    </w:pPr>
  </w:style>
  <w:style w:type="character" w:customStyle="1" w:styleId="FooterChar">
    <w:name w:val="Footer Char"/>
    <w:basedOn w:val="DefaultParagraphFont"/>
    <w:link w:val="Footer"/>
    <w:uiPriority w:val="99"/>
    <w:rsid w:val="000D5417"/>
    <w:rPr>
      <w:rFonts w:ascii="Arial" w:eastAsia="Arial" w:hAnsi="Arial" w:cs="Arial"/>
      <w:kern w:val="0"/>
      <w:lang w:val="en-US"/>
      <w14:ligatures w14:val="none"/>
    </w:rPr>
  </w:style>
  <w:style w:type="character" w:styleId="Hyperlink">
    <w:name w:val="Hyperlink"/>
    <w:basedOn w:val="DefaultParagraphFont"/>
    <w:uiPriority w:val="99"/>
    <w:unhideWhenUsed/>
    <w:rsid w:val="001A6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581/regulation/13/made" TargetMode="External"/><Relationship Id="rId13" Type="http://schemas.openxmlformats.org/officeDocument/2006/relationships/hyperlink" Target="http://www.proceduresonline.com/ifa_temp/p_man_allegations.html" TargetMode="External"/><Relationship Id="rId3" Type="http://schemas.openxmlformats.org/officeDocument/2006/relationships/settings" Target="settings.xml"/><Relationship Id="rId7" Type="http://schemas.openxmlformats.org/officeDocument/2006/relationships/hyperlink" Target="http://www.legislation.gov.uk/uksi/2011/581/regulation/11/made" TargetMode="External"/><Relationship Id="rId12" Type="http://schemas.openxmlformats.org/officeDocument/2006/relationships/hyperlink" Target="http://www.proceduresonline.com/ifa_temp/p_man_allega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yorkscb.proceduresonline.com/index.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nimumstandards.org/fost_four.html" TargetMode="External"/><Relationship Id="rId4" Type="http://schemas.openxmlformats.org/officeDocument/2006/relationships/webSettings" Target="webSettings.xml"/><Relationship Id="rId9" Type="http://schemas.openxmlformats.org/officeDocument/2006/relationships/hyperlink" Target="http://www.legislation.gov.uk/uksi/2011/581/regulation/13/m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1732</Words>
  <Characters>9878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2023-12-20T14:31:00Z</dcterms:created>
  <dcterms:modified xsi:type="dcterms:W3CDTF">2023-12-20T14:31:00Z</dcterms:modified>
</cp:coreProperties>
</file>