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9FFA" w14:textId="77777777" w:rsidR="00CE5181" w:rsidRDefault="009E4F42">
      <w:pPr>
        <w:tabs>
          <w:tab w:val="left" w:pos="7137"/>
        </w:tabs>
        <w:ind w:left="100"/>
        <w:rPr>
          <w:rFonts w:ascii="Times New Roman"/>
          <w:sz w:val="20"/>
        </w:rPr>
      </w:pPr>
      <w:r>
        <w:rPr>
          <w:rFonts w:ascii="Times New Roman"/>
          <w:noProof/>
          <w:sz w:val="20"/>
        </w:rPr>
        <w:drawing>
          <wp:inline distT="0" distB="0" distL="0" distR="0" wp14:anchorId="458A5B71" wp14:editId="1820F1D9">
            <wp:extent cx="1333490" cy="1061466"/>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1333490" cy="1061466"/>
                    </a:xfrm>
                    <a:prstGeom prst="rect">
                      <a:avLst/>
                    </a:prstGeom>
                  </pic:spPr>
                </pic:pic>
              </a:graphicData>
            </a:graphic>
          </wp:inline>
        </w:drawing>
      </w:r>
      <w:r>
        <w:rPr>
          <w:rFonts w:ascii="Times New Roman"/>
          <w:sz w:val="20"/>
        </w:rPr>
        <w:tab/>
      </w:r>
      <w:r>
        <w:rPr>
          <w:rFonts w:ascii="Times New Roman"/>
          <w:noProof/>
          <w:position w:val="8"/>
          <w:sz w:val="20"/>
        </w:rPr>
        <w:drawing>
          <wp:inline distT="0" distB="0" distL="0" distR="0" wp14:anchorId="07301898" wp14:editId="42EAC65B">
            <wp:extent cx="1191851" cy="1034796"/>
            <wp:effectExtent l="0" t="0" r="0" b="0"/>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1191851" cy="1034796"/>
                    </a:xfrm>
                    <a:prstGeom prst="rect">
                      <a:avLst/>
                    </a:prstGeom>
                  </pic:spPr>
                </pic:pic>
              </a:graphicData>
            </a:graphic>
          </wp:inline>
        </w:drawing>
      </w:r>
    </w:p>
    <w:p w14:paraId="0FC3353B" w14:textId="77777777" w:rsidR="00CE5181" w:rsidRDefault="009E4F42">
      <w:pPr>
        <w:pStyle w:val="BodyText"/>
        <w:spacing w:before="33"/>
        <w:ind w:left="100"/>
      </w:pPr>
      <w:r>
        <w:rPr>
          <w:color w:val="385522"/>
        </w:rPr>
        <w:t>Appendix 1: Individual Case Supervision Requirements</w:t>
      </w:r>
    </w:p>
    <w:p w14:paraId="4EDDD221" w14:textId="77777777" w:rsidR="00CE5181" w:rsidRDefault="00CE5181">
      <w:pPr>
        <w:pStyle w:val="BodyText"/>
        <w:rPr>
          <w:sz w:val="20"/>
        </w:rPr>
      </w:pPr>
    </w:p>
    <w:p w14:paraId="2ED31095" w14:textId="77777777" w:rsidR="00CE5181" w:rsidRDefault="00CE5181">
      <w:pPr>
        <w:pStyle w:val="BodyText"/>
        <w:spacing w:before="5"/>
        <w:rPr>
          <w:sz w:val="17"/>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0"/>
        <w:gridCol w:w="5953"/>
      </w:tblGrid>
      <w:tr w:rsidR="00CE5181" w14:paraId="36993FFB" w14:textId="77777777">
        <w:trPr>
          <w:trHeight w:val="292"/>
        </w:trPr>
        <w:tc>
          <w:tcPr>
            <w:tcW w:w="9203" w:type="dxa"/>
            <w:gridSpan w:val="2"/>
            <w:shd w:val="clear" w:color="auto" w:fill="9CC2E4"/>
          </w:tcPr>
          <w:p w14:paraId="723000BD" w14:textId="77777777" w:rsidR="00CE5181" w:rsidRDefault="009E4F42">
            <w:pPr>
              <w:pStyle w:val="TableParagraph"/>
              <w:ind w:left="2533" w:right="2530"/>
              <w:jc w:val="center"/>
              <w:rPr>
                <w:b/>
                <w:sz w:val="20"/>
              </w:rPr>
            </w:pPr>
            <w:r>
              <w:rPr>
                <w:b/>
                <w:color w:val="1F4E79"/>
                <w:sz w:val="20"/>
              </w:rPr>
              <w:t>Individual Child Supervision Requirements</w:t>
            </w:r>
          </w:p>
        </w:tc>
      </w:tr>
      <w:tr w:rsidR="00CE5181" w14:paraId="0736F8B7" w14:textId="77777777">
        <w:trPr>
          <w:trHeight w:val="294"/>
        </w:trPr>
        <w:tc>
          <w:tcPr>
            <w:tcW w:w="3250" w:type="dxa"/>
            <w:shd w:val="clear" w:color="auto" w:fill="9CC2E4"/>
          </w:tcPr>
          <w:p w14:paraId="30385AA0" w14:textId="77777777" w:rsidR="00CE5181" w:rsidRDefault="009E4F42">
            <w:pPr>
              <w:pStyle w:val="TableParagraph"/>
              <w:ind w:left="105"/>
              <w:rPr>
                <w:b/>
                <w:sz w:val="20"/>
              </w:rPr>
            </w:pPr>
            <w:r>
              <w:rPr>
                <w:b/>
                <w:color w:val="1F4E79"/>
                <w:sz w:val="20"/>
              </w:rPr>
              <w:t>Service Area</w:t>
            </w:r>
          </w:p>
        </w:tc>
        <w:tc>
          <w:tcPr>
            <w:tcW w:w="5953" w:type="dxa"/>
            <w:shd w:val="clear" w:color="auto" w:fill="9CC2E4"/>
          </w:tcPr>
          <w:p w14:paraId="7CF968D0" w14:textId="77777777" w:rsidR="00CE5181" w:rsidRDefault="009E4F42">
            <w:pPr>
              <w:pStyle w:val="TableParagraph"/>
              <w:rPr>
                <w:b/>
                <w:sz w:val="20"/>
              </w:rPr>
            </w:pPr>
            <w:r>
              <w:rPr>
                <w:b/>
                <w:color w:val="1F4E79"/>
                <w:sz w:val="20"/>
              </w:rPr>
              <w:t>Frequency</w:t>
            </w:r>
          </w:p>
        </w:tc>
      </w:tr>
      <w:tr w:rsidR="00CE5181" w14:paraId="4B3035B3" w14:textId="77777777">
        <w:trPr>
          <w:trHeight w:val="1684"/>
        </w:trPr>
        <w:tc>
          <w:tcPr>
            <w:tcW w:w="3250" w:type="dxa"/>
            <w:shd w:val="clear" w:color="auto" w:fill="9CC2E4"/>
          </w:tcPr>
          <w:p w14:paraId="62F02F6A" w14:textId="77777777" w:rsidR="00CE5181" w:rsidRDefault="009E4F42">
            <w:pPr>
              <w:pStyle w:val="TableParagraph"/>
              <w:ind w:left="105"/>
              <w:rPr>
                <w:b/>
                <w:sz w:val="20"/>
              </w:rPr>
            </w:pPr>
            <w:r>
              <w:rPr>
                <w:b/>
                <w:color w:val="1F4E79"/>
                <w:sz w:val="20"/>
              </w:rPr>
              <w:t>MAP / SPA</w:t>
            </w:r>
          </w:p>
        </w:tc>
        <w:tc>
          <w:tcPr>
            <w:tcW w:w="5953" w:type="dxa"/>
          </w:tcPr>
          <w:p w14:paraId="3357D26C" w14:textId="536D6C2B" w:rsidR="00CE5181" w:rsidRDefault="009E4F42">
            <w:pPr>
              <w:pStyle w:val="TableParagraph"/>
              <w:spacing w:before="172"/>
              <w:rPr>
                <w:sz w:val="20"/>
              </w:rPr>
            </w:pPr>
            <w:r>
              <w:rPr>
                <w:sz w:val="20"/>
              </w:rPr>
              <w:t xml:space="preserve">There will be management oversight during the MAP and SPA process as and when required. Once a month, manager and worker should agree one child/family to reflect on in supervision. The reflection could be in terms of good practice, or where there have been difficulties with the </w:t>
            </w:r>
            <w:r w:rsidR="00C72DE0">
              <w:rPr>
                <w:sz w:val="20"/>
              </w:rPr>
              <w:t>decision-making</w:t>
            </w:r>
            <w:r>
              <w:rPr>
                <w:sz w:val="20"/>
              </w:rPr>
              <w:t xml:space="preserve"> process. This reflection should be recorded in the ‘Staff Supervision Record’.</w:t>
            </w:r>
          </w:p>
        </w:tc>
      </w:tr>
      <w:tr w:rsidR="00CE5181" w14:paraId="5ED3E37C" w14:textId="77777777">
        <w:trPr>
          <w:trHeight w:val="1687"/>
        </w:trPr>
        <w:tc>
          <w:tcPr>
            <w:tcW w:w="3250" w:type="dxa"/>
            <w:shd w:val="clear" w:color="auto" w:fill="9CC2E4"/>
          </w:tcPr>
          <w:p w14:paraId="13890446" w14:textId="77777777" w:rsidR="00CE5181" w:rsidRDefault="009E4F42">
            <w:pPr>
              <w:pStyle w:val="TableParagraph"/>
              <w:ind w:left="105"/>
              <w:rPr>
                <w:b/>
                <w:sz w:val="20"/>
              </w:rPr>
            </w:pPr>
            <w:r>
              <w:rPr>
                <w:b/>
                <w:color w:val="1F4E79"/>
                <w:sz w:val="20"/>
              </w:rPr>
              <w:t>Assessment</w:t>
            </w:r>
          </w:p>
        </w:tc>
        <w:tc>
          <w:tcPr>
            <w:tcW w:w="5953" w:type="dxa"/>
          </w:tcPr>
          <w:p w14:paraId="0A75A8A8" w14:textId="77777777" w:rsidR="00CE5181" w:rsidRDefault="009E4F42">
            <w:pPr>
              <w:pStyle w:val="TableParagraph"/>
              <w:spacing w:before="175"/>
              <w:ind w:right="99"/>
              <w:rPr>
                <w:sz w:val="20"/>
              </w:rPr>
            </w:pPr>
            <w:r>
              <w:rPr>
                <w:sz w:val="20"/>
              </w:rPr>
              <w:t>There will be regular management oversight during the assessment process. Once a child has been open for 6 weeks they will have case supervision and thereafter every 4 weeks. Once a month, manager and worker should discuss any children identified as requiring discussion, and this should include all children who have been open for longer than six weeks.</w:t>
            </w:r>
          </w:p>
        </w:tc>
      </w:tr>
      <w:tr w:rsidR="00CE5181" w14:paraId="1309281D" w14:textId="77777777">
        <w:trPr>
          <w:trHeight w:val="1816"/>
        </w:trPr>
        <w:tc>
          <w:tcPr>
            <w:tcW w:w="3250" w:type="dxa"/>
            <w:shd w:val="clear" w:color="auto" w:fill="9CC2E4"/>
          </w:tcPr>
          <w:p w14:paraId="01CAFD91" w14:textId="77777777" w:rsidR="00CE5181" w:rsidRDefault="009E4F42">
            <w:pPr>
              <w:pStyle w:val="TableParagraph"/>
              <w:ind w:left="105"/>
              <w:rPr>
                <w:b/>
                <w:sz w:val="20"/>
              </w:rPr>
            </w:pPr>
            <w:r>
              <w:rPr>
                <w:b/>
                <w:color w:val="1F4E79"/>
                <w:sz w:val="20"/>
              </w:rPr>
              <w:t>Family Safeguarding</w:t>
            </w:r>
          </w:p>
        </w:tc>
        <w:tc>
          <w:tcPr>
            <w:tcW w:w="5953" w:type="dxa"/>
          </w:tcPr>
          <w:p w14:paraId="636E5E45" w14:textId="77777777" w:rsidR="00CE5181" w:rsidRDefault="009E4F42">
            <w:pPr>
              <w:pStyle w:val="TableParagraph"/>
              <w:spacing w:before="191"/>
              <w:rPr>
                <w:sz w:val="20"/>
              </w:rPr>
            </w:pPr>
            <w:r>
              <w:rPr>
                <w:sz w:val="20"/>
              </w:rPr>
              <w:t>Group case supervision is held within the Family Safeguarding Service. Each child /family is supervised according to risk rating:</w:t>
            </w:r>
          </w:p>
          <w:p w14:paraId="1C23588F" w14:textId="77777777" w:rsidR="00CE5181" w:rsidRDefault="009E4F42">
            <w:pPr>
              <w:pStyle w:val="TableParagraph"/>
              <w:spacing w:before="118" w:line="348" w:lineRule="auto"/>
              <w:ind w:right="1285"/>
              <w:rPr>
                <w:sz w:val="20"/>
              </w:rPr>
            </w:pPr>
            <w:r>
              <w:rPr>
                <w:sz w:val="20"/>
              </w:rPr>
              <w:t>Red – Monthly or more frequently if required; Amber – Monthly or more frequently if required; Green – Monthly or more frequently if required.</w:t>
            </w:r>
          </w:p>
        </w:tc>
      </w:tr>
      <w:tr w:rsidR="00CE5181" w14:paraId="0ED5C495" w14:textId="77777777">
        <w:trPr>
          <w:trHeight w:val="1573"/>
        </w:trPr>
        <w:tc>
          <w:tcPr>
            <w:tcW w:w="3250" w:type="dxa"/>
            <w:shd w:val="clear" w:color="auto" w:fill="9CC2E4"/>
          </w:tcPr>
          <w:p w14:paraId="6154A2EB" w14:textId="77777777" w:rsidR="00CE5181" w:rsidRDefault="009E4F42">
            <w:pPr>
              <w:pStyle w:val="TableParagraph"/>
              <w:ind w:left="105"/>
              <w:rPr>
                <w:b/>
                <w:sz w:val="20"/>
              </w:rPr>
            </w:pPr>
            <w:r>
              <w:rPr>
                <w:b/>
                <w:color w:val="1F4E79"/>
                <w:sz w:val="20"/>
              </w:rPr>
              <w:t>Children with Disabilities</w:t>
            </w:r>
          </w:p>
          <w:p w14:paraId="06FB0F08" w14:textId="77777777" w:rsidR="00CE5181" w:rsidRDefault="009E4F42">
            <w:pPr>
              <w:pStyle w:val="TableParagraph"/>
              <w:tabs>
                <w:tab w:val="left" w:pos="1205"/>
                <w:tab w:val="left" w:pos="2154"/>
                <w:tab w:val="left" w:pos="2915"/>
              </w:tabs>
              <w:spacing w:before="103"/>
              <w:ind w:left="105" w:right="69"/>
              <w:rPr>
                <w:b/>
                <w:sz w:val="20"/>
              </w:rPr>
            </w:pPr>
            <w:r>
              <w:rPr>
                <w:b/>
                <w:color w:val="1F4E79"/>
                <w:sz w:val="20"/>
              </w:rPr>
              <w:t>(where</w:t>
            </w:r>
            <w:r>
              <w:rPr>
                <w:b/>
                <w:color w:val="1F4E79"/>
                <w:sz w:val="20"/>
              </w:rPr>
              <w:tab/>
              <w:t>there</w:t>
            </w:r>
            <w:r>
              <w:rPr>
                <w:b/>
                <w:color w:val="1F4E79"/>
                <w:sz w:val="20"/>
              </w:rPr>
              <w:tab/>
              <w:t>are</w:t>
            </w:r>
            <w:r>
              <w:rPr>
                <w:b/>
                <w:color w:val="1F4E79"/>
                <w:sz w:val="20"/>
              </w:rPr>
              <w:tab/>
            </w:r>
            <w:r>
              <w:rPr>
                <w:b/>
                <w:color w:val="1F4E79"/>
                <w:spacing w:val="-9"/>
                <w:sz w:val="20"/>
              </w:rPr>
              <w:t xml:space="preserve">no </w:t>
            </w:r>
            <w:r>
              <w:rPr>
                <w:b/>
                <w:color w:val="1F4E79"/>
                <w:sz w:val="20"/>
              </w:rPr>
              <w:t>safeguarding</w:t>
            </w:r>
            <w:r>
              <w:rPr>
                <w:b/>
                <w:color w:val="1F4E79"/>
                <w:spacing w:val="1"/>
                <w:sz w:val="20"/>
              </w:rPr>
              <w:t xml:space="preserve"> </w:t>
            </w:r>
            <w:r>
              <w:rPr>
                <w:b/>
                <w:color w:val="1F4E79"/>
                <w:sz w:val="20"/>
              </w:rPr>
              <w:t>concerns)</w:t>
            </w:r>
          </w:p>
        </w:tc>
        <w:tc>
          <w:tcPr>
            <w:tcW w:w="5953" w:type="dxa"/>
          </w:tcPr>
          <w:p w14:paraId="687C4A78" w14:textId="77777777" w:rsidR="00CE5181" w:rsidRDefault="009E4F42">
            <w:pPr>
              <w:pStyle w:val="TableParagraph"/>
              <w:spacing w:before="172" w:line="242" w:lineRule="auto"/>
              <w:rPr>
                <w:sz w:val="20"/>
              </w:rPr>
            </w:pPr>
            <w:r>
              <w:rPr>
                <w:sz w:val="20"/>
              </w:rPr>
              <w:t>Every child will be discussed in supervision once every three months as a minimum.</w:t>
            </w:r>
          </w:p>
          <w:p w14:paraId="0341D003" w14:textId="77777777" w:rsidR="00CE5181" w:rsidRDefault="009E4F42">
            <w:pPr>
              <w:pStyle w:val="TableParagraph"/>
              <w:spacing w:before="116"/>
              <w:rPr>
                <w:sz w:val="20"/>
              </w:rPr>
            </w:pPr>
            <w:r>
              <w:rPr>
                <w:sz w:val="20"/>
              </w:rPr>
              <w:t>For children with Occupational Therapy and open to an Occupational Therapy Assistant for equipment review only, a minimum of six monthly is required.</w:t>
            </w:r>
          </w:p>
        </w:tc>
      </w:tr>
      <w:tr w:rsidR="00CE5181" w14:paraId="48AF22A5" w14:textId="77777777">
        <w:trPr>
          <w:trHeight w:val="1213"/>
        </w:trPr>
        <w:tc>
          <w:tcPr>
            <w:tcW w:w="3250" w:type="dxa"/>
            <w:tcBorders>
              <w:bottom w:val="single" w:sz="4" w:space="0" w:color="000000"/>
            </w:tcBorders>
            <w:shd w:val="clear" w:color="auto" w:fill="9CC2E4"/>
          </w:tcPr>
          <w:p w14:paraId="39E3322B" w14:textId="77777777" w:rsidR="00CE5181" w:rsidRDefault="009E4F42">
            <w:pPr>
              <w:pStyle w:val="TableParagraph"/>
              <w:ind w:left="105"/>
              <w:rPr>
                <w:b/>
                <w:sz w:val="20"/>
              </w:rPr>
            </w:pPr>
            <w:r>
              <w:rPr>
                <w:b/>
                <w:color w:val="1F4E79"/>
                <w:sz w:val="20"/>
              </w:rPr>
              <w:t>Looked After Children</w:t>
            </w:r>
          </w:p>
        </w:tc>
        <w:tc>
          <w:tcPr>
            <w:tcW w:w="5953" w:type="dxa"/>
            <w:tcBorders>
              <w:bottom w:val="single" w:sz="4" w:space="0" w:color="000000"/>
            </w:tcBorders>
          </w:tcPr>
          <w:p w14:paraId="5C086247" w14:textId="77777777" w:rsidR="00CE5181" w:rsidRDefault="009E4F42">
            <w:pPr>
              <w:pStyle w:val="TableParagraph"/>
              <w:spacing w:before="42"/>
              <w:rPr>
                <w:sz w:val="20"/>
              </w:rPr>
            </w:pPr>
            <w:r>
              <w:rPr>
                <w:sz w:val="20"/>
              </w:rPr>
              <w:t>For Looked After Children, supervision would be recorded at a minimum every 8 weeks with a management oversight being recorded at the 4 weekly interval to ensure all children are discussed at least every 4 weeks.</w:t>
            </w:r>
          </w:p>
        </w:tc>
      </w:tr>
      <w:tr w:rsidR="00CE5181" w14:paraId="2D648A34" w14:textId="77777777">
        <w:trPr>
          <w:trHeight w:val="1435"/>
        </w:trPr>
        <w:tc>
          <w:tcPr>
            <w:tcW w:w="3250" w:type="dxa"/>
            <w:tcBorders>
              <w:top w:val="single" w:sz="4" w:space="0" w:color="000000"/>
              <w:left w:val="single" w:sz="4" w:space="0" w:color="000000"/>
              <w:bottom w:val="single" w:sz="4" w:space="0" w:color="000000"/>
              <w:right w:val="single" w:sz="4" w:space="0" w:color="000000"/>
            </w:tcBorders>
            <w:shd w:val="clear" w:color="auto" w:fill="9CC2E4"/>
          </w:tcPr>
          <w:p w14:paraId="01D10084" w14:textId="77777777" w:rsidR="00CE5181" w:rsidRDefault="009E4F42">
            <w:pPr>
              <w:pStyle w:val="TableParagraph"/>
              <w:rPr>
                <w:b/>
                <w:sz w:val="20"/>
              </w:rPr>
            </w:pPr>
            <w:r>
              <w:rPr>
                <w:b/>
                <w:color w:val="1F4E79"/>
                <w:sz w:val="20"/>
              </w:rPr>
              <w:t>Care Leavers</w:t>
            </w:r>
          </w:p>
        </w:tc>
        <w:tc>
          <w:tcPr>
            <w:tcW w:w="5953" w:type="dxa"/>
            <w:tcBorders>
              <w:top w:val="single" w:sz="4" w:space="0" w:color="000000"/>
              <w:left w:val="single" w:sz="4" w:space="0" w:color="000000"/>
              <w:bottom w:val="single" w:sz="4" w:space="0" w:color="000000"/>
              <w:right w:val="single" w:sz="4" w:space="0" w:color="000000"/>
            </w:tcBorders>
          </w:tcPr>
          <w:p w14:paraId="49D12E66" w14:textId="77777777" w:rsidR="00C72DE0" w:rsidRPr="00C72DE0" w:rsidRDefault="00C72DE0" w:rsidP="00C72DE0">
            <w:pPr>
              <w:ind w:left="154"/>
              <w:rPr>
                <w:rFonts w:ascii="Calibri" w:eastAsiaTheme="minorHAnsi" w:hAnsi="Calibri" w:cs="Calibri"/>
                <w:sz w:val="20"/>
                <w:szCs w:val="20"/>
              </w:rPr>
            </w:pPr>
            <w:r w:rsidRPr="00C72DE0">
              <w:rPr>
                <w:sz w:val="20"/>
                <w:szCs w:val="20"/>
              </w:rPr>
              <w:t>Supervision for all care leavers within the service occurs three monthly, if there are concerns arising for the care leaver which require greater oversight the supervision frequency will increase according to need and will be reflected in the supervision document.</w:t>
            </w:r>
          </w:p>
          <w:p w14:paraId="03674F94" w14:textId="2F4A2098" w:rsidR="00CE5181" w:rsidRDefault="00CE5181">
            <w:pPr>
              <w:pStyle w:val="TableParagraph"/>
              <w:spacing w:before="4" w:line="230" w:lineRule="exact"/>
              <w:ind w:left="115" w:right="139"/>
              <w:rPr>
                <w:sz w:val="20"/>
              </w:rPr>
            </w:pPr>
          </w:p>
        </w:tc>
      </w:tr>
      <w:tr w:rsidR="00CE5181" w14:paraId="2A1C95A4" w14:textId="77777777">
        <w:trPr>
          <w:trHeight w:val="746"/>
        </w:trPr>
        <w:tc>
          <w:tcPr>
            <w:tcW w:w="3250" w:type="dxa"/>
            <w:tcBorders>
              <w:top w:val="single" w:sz="4" w:space="0" w:color="000000"/>
              <w:left w:val="single" w:sz="4" w:space="0" w:color="000000"/>
              <w:bottom w:val="single" w:sz="4" w:space="0" w:color="000000"/>
              <w:right w:val="single" w:sz="4" w:space="0" w:color="000000"/>
            </w:tcBorders>
            <w:shd w:val="clear" w:color="auto" w:fill="9CC2E4"/>
          </w:tcPr>
          <w:p w14:paraId="0516B187" w14:textId="77777777" w:rsidR="00CE5181" w:rsidRDefault="009E4F42">
            <w:pPr>
              <w:pStyle w:val="TableParagraph"/>
              <w:rPr>
                <w:b/>
                <w:sz w:val="20"/>
              </w:rPr>
            </w:pPr>
            <w:r>
              <w:rPr>
                <w:b/>
                <w:color w:val="1F4E79"/>
                <w:sz w:val="20"/>
              </w:rPr>
              <w:t>IROs / CP Chairs and LADOs</w:t>
            </w:r>
          </w:p>
        </w:tc>
        <w:tc>
          <w:tcPr>
            <w:tcW w:w="5953" w:type="dxa"/>
            <w:tcBorders>
              <w:top w:val="single" w:sz="4" w:space="0" w:color="000000"/>
              <w:left w:val="single" w:sz="4" w:space="0" w:color="000000"/>
              <w:bottom w:val="single" w:sz="4" w:space="0" w:color="000000"/>
              <w:right w:val="single" w:sz="4" w:space="0" w:color="000000"/>
            </w:tcBorders>
          </w:tcPr>
          <w:p w14:paraId="52A54A34" w14:textId="77777777" w:rsidR="00CE5181" w:rsidRDefault="009E4F42">
            <w:pPr>
              <w:pStyle w:val="TableParagraph"/>
              <w:spacing w:before="42" w:line="230" w:lineRule="atLeast"/>
              <w:ind w:left="115" w:right="139"/>
              <w:rPr>
                <w:sz w:val="20"/>
              </w:rPr>
            </w:pPr>
            <w:r>
              <w:rPr>
                <w:sz w:val="20"/>
              </w:rPr>
              <w:t>IROs / CP Chairs and LADOs will have their supervision every 4 weeks and will include some thematic supervision alongside their Learning Portfolios</w:t>
            </w:r>
          </w:p>
        </w:tc>
      </w:tr>
      <w:tr w:rsidR="00CE5181" w14:paraId="5FBAF4CB" w14:textId="77777777">
        <w:trPr>
          <w:trHeight w:val="983"/>
        </w:trPr>
        <w:tc>
          <w:tcPr>
            <w:tcW w:w="3250" w:type="dxa"/>
            <w:tcBorders>
              <w:top w:val="single" w:sz="4" w:space="0" w:color="000000"/>
              <w:left w:val="single" w:sz="4" w:space="0" w:color="000000"/>
              <w:bottom w:val="single" w:sz="4" w:space="0" w:color="000000"/>
              <w:right w:val="single" w:sz="4" w:space="0" w:color="000000"/>
            </w:tcBorders>
            <w:shd w:val="clear" w:color="auto" w:fill="9CC2E4"/>
          </w:tcPr>
          <w:p w14:paraId="25A58BDF" w14:textId="77777777" w:rsidR="00CE5181" w:rsidRDefault="009E4F42">
            <w:pPr>
              <w:pStyle w:val="TableParagraph"/>
              <w:spacing w:before="162"/>
              <w:rPr>
                <w:b/>
                <w:sz w:val="20"/>
              </w:rPr>
            </w:pPr>
            <w:r>
              <w:rPr>
                <w:b/>
                <w:color w:val="1F4E79"/>
                <w:sz w:val="20"/>
              </w:rPr>
              <w:t>Team Managers / Service Managers / Assistant Directors</w:t>
            </w:r>
          </w:p>
          <w:p w14:paraId="5AF3B4F0" w14:textId="77777777" w:rsidR="00CE5181" w:rsidRDefault="009E4F42">
            <w:pPr>
              <w:pStyle w:val="TableParagraph"/>
              <w:spacing w:before="1"/>
              <w:rPr>
                <w:b/>
                <w:sz w:val="20"/>
              </w:rPr>
            </w:pPr>
            <w:r>
              <w:rPr>
                <w:b/>
                <w:color w:val="1F4E79"/>
                <w:sz w:val="20"/>
              </w:rPr>
              <w:t>/ Directors</w:t>
            </w:r>
          </w:p>
        </w:tc>
        <w:tc>
          <w:tcPr>
            <w:tcW w:w="5953" w:type="dxa"/>
            <w:tcBorders>
              <w:top w:val="single" w:sz="4" w:space="0" w:color="000000"/>
              <w:left w:val="single" w:sz="4" w:space="0" w:color="000000"/>
              <w:bottom w:val="single" w:sz="4" w:space="0" w:color="000000"/>
              <w:right w:val="single" w:sz="4" w:space="0" w:color="000000"/>
            </w:tcBorders>
          </w:tcPr>
          <w:p w14:paraId="52714D9A" w14:textId="77777777" w:rsidR="00CE5181" w:rsidRDefault="009E4F42">
            <w:pPr>
              <w:pStyle w:val="TableParagraph"/>
              <w:spacing w:before="42"/>
              <w:ind w:left="115" w:right="316"/>
              <w:rPr>
                <w:sz w:val="20"/>
              </w:rPr>
            </w:pPr>
            <w:r>
              <w:rPr>
                <w:sz w:val="20"/>
              </w:rPr>
              <w:t>Managers will have their supervision every 4-6 weeks and this will be recorded on their personal supervision file</w:t>
            </w:r>
          </w:p>
        </w:tc>
      </w:tr>
    </w:tbl>
    <w:p w14:paraId="224E0682" w14:textId="77777777" w:rsidR="00CE5181" w:rsidRDefault="00CE5181">
      <w:pPr>
        <w:rPr>
          <w:sz w:val="20"/>
        </w:rPr>
        <w:sectPr w:rsidR="00CE5181">
          <w:type w:val="continuous"/>
          <w:pgSz w:w="11910" w:h="16840"/>
          <w:pgMar w:top="260" w:right="1120" w:bottom="280" w:left="1340" w:header="720" w:footer="720" w:gutter="0"/>
          <w:cols w:space="720"/>
        </w:sectPr>
      </w:pPr>
    </w:p>
    <w:p w14:paraId="265C7F3F" w14:textId="006FFC94" w:rsidR="00CE5181" w:rsidRDefault="004F5DA4">
      <w:pPr>
        <w:pStyle w:val="BodyText"/>
        <w:spacing w:before="4"/>
        <w:rPr>
          <w:sz w:val="20"/>
          <w:szCs w:val="20"/>
        </w:rPr>
      </w:pPr>
      <w:r>
        <w:rPr>
          <w:sz w:val="20"/>
          <w:szCs w:val="20"/>
        </w:rPr>
        <w:lastRenderedPageBreak/>
        <w:t>Document last reviewed: November 2023</w:t>
      </w:r>
    </w:p>
    <w:p w14:paraId="2C042200" w14:textId="34C65F85" w:rsidR="004F5DA4" w:rsidRDefault="004F5DA4">
      <w:pPr>
        <w:pStyle w:val="BodyText"/>
        <w:spacing w:before="4"/>
        <w:rPr>
          <w:sz w:val="20"/>
          <w:szCs w:val="20"/>
        </w:rPr>
      </w:pPr>
      <w:r>
        <w:rPr>
          <w:sz w:val="20"/>
          <w:szCs w:val="20"/>
        </w:rPr>
        <w:t>Reviewed by: Kasey Senior – Service Manage</w:t>
      </w:r>
      <w:r w:rsidR="00A314CB">
        <w:rPr>
          <w:sz w:val="20"/>
          <w:szCs w:val="20"/>
        </w:rPr>
        <w:t>r</w:t>
      </w:r>
      <w:r>
        <w:rPr>
          <w:sz w:val="20"/>
          <w:szCs w:val="20"/>
        </w:rPr>
        <w:t>, Practice Standards</w:t>
      </w:r>
    </w:p>
    <w:p w14:paraId="49259E4F" w14:textId="2D857316" w:rsidR="004F5DA4" w:rsidRPr="004F5DA4" w:rsidRDefault="004F5DA4">
      <w:pPr>
        <w:pStyle w:val="BodyText"/>
        <w:spacing w:before="4"/>
        <w:rPr>
          <w:sz w:val="20"/>
          <w:szCs w:val="20"/>
        </w:rPr>
      </w:pPr>
      <w:r>
        <w:rPr>
          <w:sz w:val="20"/>
          <w:szCs w:val="20"/>
        </w:rPr>
        <w:t>Next review date: June 2024</w:t>
      </w:r>
    </w:p>
    <w:sectPr w:rsidR="004F5DA4" w:rsidRPr="004F5DA4">
      <w:pgSz w:w="11910" w:h="16840"/>
      <w:pgMar w:top="158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81"/>
    <w:rsid w:val="003024D7"/>
    <w:rsid w:val="004F5DA4"/>
    <w:rsid w:val="009E4F42"/>
    <w:rsid w:val="00A314CB"/>
    <w:rsid w:val="00C72DE0"/>
    <w:rsid w:val="00CE5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5D08"/>
  <w15:docId w15:val="{25094384-7BCB-418B-A66B-651ED580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0"/>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945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Peddie</dc:creator>
  <cp:lastModifiedBy>James Haley</cp:lastModifiedBy>
  <cp:revision>3</cp:revision>
  <dcterms:created xsi:type="dcterms:W3CDTF">2024-04-10T11:40:00Z</dcterms:created>
  <dcterms:modified xsi:type="dcterms:W3CDTF">2024-04-10T11:43:00Z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2013</vt:lpwstr>
  </property>
  <property fmtid="{D5CDD505-2E9C-101B-9397-08002B2CF9AE}" pid="4" name="LastSaved">
    <vt:filetime>2023-11-14T00:00:00Z</vt:filetime>
  </property>
</Properties>
</file>