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2E76D" w14:textId="77777777" w:rsidR="00A77AA5" w:rsidRDefault="00A77AA5" w:rsidP="00A77AA5">
      <w:pPr>
        <w:jc w:val="center"/>
        <w:rPr>
          <w:b/>
          <w:bCs/>
          <w:u w:val="single"/>
        </w:rPr>
      </w:pPr>
      <w:bookmarkStart w:id="0" w:name="_GoBack"/>
      <w:bookmarkEnd w:id="0"/>
      <w:r>
        <w:rPr>
          <w:b/>
          <w:bCs/>
          <w:sz w:val="28"/>
          <w:szCs w:val="28"/>
          <w:u w:val="single"/>
        </w:rPr>
        <w:t xml:space="preserve">Changes to </w:t>
      </w:r>
      <w:r w:rsidRPr="00627C70">
        <w:rPr>
          <w:b/>
          <w:bCs/>
          <w:sz w:val="28"/>
          <w:szCs w:val="28"/>
          <w:u w:val="single"/>
        </w:rPr>
        <w:t xml:space="preserve">Fostering Payments </w:t>
      </w:r>
      <w:r>
        <w:rPr>
          <w:b/>
          <w:bCs/>
          <w:sz w:val="28"/>
          <w:szCs w:val="28"/>
          <w:u w:val="single"/>
        </w:rPr>
        <w:t>for Mileage/Equipment/Day Care from the 4</w:t>
      </w:r>
      <w:r w:rsidRPr="000B5B31">
        <w:rPr>
          <w:b/>
          <w:bCs/>
          <w:sz w:val="28"/>
          <w:szCs w:val="28"/>
          <w:u w:val="single"/>
          <w:vertAlign w:val="superscript"/>
        </w:rPr>
        <w:t>th</w:t>
      </w:r>
      <w:r>
        <w:rPr>
          <w:b/>
          <w:bCs/>
          <w:sz w:val="28"/>
          <w:szCs w:val="28"/>
          <w:u w:val="single"/>
        </w:rPr>
        <w:t xml:space="preserve"> September 2023.</w:t>
      </w:r>
    </w:p>
    <w:p w14:paraId="023528D4" w14:textId="77777777" w:rsidR="00A77AA5" w:rsidRPr="00627C70" w:rsidRDefault="00A77AA5" w:rsidP="00A77AA5">
      <w:pPr>
        <w:rPr>
          <w:b/>
          <w:bCs/>
          <w:u w:val="single"/>
        </w:rPr>
      </w:pPr>
      <w:r>
        <w:rPr>
          <w:b/>
          <w:bCs/>
          <w:u w:val="single"/>
        </w:rPr>
        <w:t>Mileage</w:t>
      </w:r>
      <w:r w:rsidRPr="00627C70">
        <w:rPr>
          <w:b/>
          <w:bCs/>
          <w:u w:val="single"/>
        </w:rPr>
        <w:t>:</w:t>
      </w:r>
    </w:p>
    <w:p w14:paraId="4C6BF387" w14:textId="4636F436" w:rsidR="00A77AA5" w:rsidRDefault="00A77AA5" w:rsidP="00A77AA5">
      <w:r>
        <w:t>Currently SCT foster carers are receiving 32.1p in mileage.  This is well below the HMRC recommended mileage rates</w:t>
      </w:r>
      <w:r w:rsidR="00BE6E46">
        <w:t>.</w:t>
      </w:r>
    </w:p>
    <w:p w14:paraId="5952936B" w14:textId="2E405A2E" w:rsidR="00A77AA5" w:rsidRPr="00627C70" w:rsidRDefault="00BE6E46" w:rsidP="00A77AA5">
      <w:pPr>
        <w:pStyle w:val="NoSpacing"/>
        <w:rPr>
          <w:b/>
          <w:bCs/>
        </w:rPr>
      </w:pPr>
      <w:r w:rsidRPr="00627C70">
        <w:rPr>
          <w:b/>
          <w:bCs/>
        </w:rPr>
        <w:t>M</w:t>
      </w:r>
      <w:r>
        <w:rPr>
          <w:b/>
          <w:bCs/>
        </w:rPr>
        <w:t>ileage payments are increased to the</w:t>
      </w:r>
      <w:r w:rsidR="00A77AA5" w:rsidRPr="00627C70">
        <w:rPr>
          <w:b/>
          <w:bCs/>
        </w:rPr>
        <w:t xml:space="preserve"> HMRC rate of 45p per mile. </w:t>
      </w:r>
    </w:p>
    <w:p w14:paraId="4FEE6642" w14:textId="77777777" w:rsidR="00A77AA5" w:rsidRPr="00627C70" w:rsidRDefault="00A77AA5" w:rsidP="00A77AA5">
      <w:pPr>
        <w:rPr>
          <w:b/>
          <w:bCs/>
          <w:u w:val="single"/>
        </w:rPr>
      </w:pPr>
    </w:p>
    <w:p w14:paraId="07D5CB85" w14:textId="77777777" w:rsidR="00A77AA5" w:rsidRPr="00627C70" w:rsidRDefault="00A77AA5" w:rsidP="00A77AA5">
      <w:pPr>
        <w:rPr>
          <w:b/>
          <w:bCs/>
          <w:u w:val="single"/>
        </w:rPr>
      </w:pPr>
      <w:r w:rsidRPr="00627C70">
        <w:rPr>
          <w:b/>
          <w:bCs/>
          <w:u w:val="single"/>
        </w:rPr>
        <w:t>Day-Care:</w:t>
      </w:r>
    </w:p>
    <w:p w14:paraId="2FED631E" w14:textId="77777777" w:rsidR="00A77AA5" w:rsidRDefault="00A77AA5" w:rsidP="00A77AA5">
      <w:r>
        <w:t xml:space="preserve">SCT are currently paying £10 per day for day care.  This is well below that which would be expected within a fostering agency. </w:t>
      </w:r>
    </w:p>
    <w:p w14:paraId="19104AD6" w14:textId="448182DD" w:rsidR="00A77AA5" w:rsidRDefault="00A77AA5" w:rsidP="00A77AA5">
      <w:pPr>
        <w:rPr>
          <w:b/>
          <w:bCs/>
        </w:rPr>
      </w:pPr>
      <w:r>
        <w:rPr>
          <w:b/>
          <w:bCs/>
        </w:rPr>
        <w:t>Day-care to be paid at £5 per hour per child with R</w:t>
      </w:r>
      <w:r w:rsidR="00BE6E46">
        <w:rPr>
          <w:b/>
          <w:bCs/>
        </w:rPr>
        <w:t xml:space="preserve">egistered </w:t>
      </w:r>
      <w:r>
        <w:rPr>
          <w:b/>
          <w:bCs/>
        </w:rPr>
        <w:t>M</w:t>
      </w:r>
      <w:r w:rsidR="00BE6E46">
        <w:rPr>
          <w:b/>
          <w:bCs/>
        </w:rPr>
        <w:t>anager</w:t>
      </w:r>
      <w:r>
        <w:rPr>
          <w:b/>
          <w:bCs/>
        </w:rPr>
        <w:t xml:space="preserve"> approval.</w:t>
      </w:r>
    </w:p>
    <w:p w14:paraId="2113C1F8" w14:textId="77777777" w:rsidR="00A77AA5" w:rsidRDefault="00A77AA5" w:rsidP="00A77AA5">
      <w:pPr>
        <w:rPr>
          <w:b/>
          <w:bCs/>
        </w:rPr>
      </w:pPr>
      <w:r>
        <w:rPr>
          <w:b/>
          <w:bCs/>
        </w:rPr>
        <w:t>Equipment Payments:</w:t>
      </w:r>
    </w:p>
    <w:p w14:paraId="0E0512DA" w14:textId="5870EC95" w:rsidR="00A77AA5" w:rsidRPr="00E364AE" w:rsidRDefault="00A77AA5" w:rsidP="00A77AA5">
      <w:r>
        <w:t xml:space="preserve">As part of all fostering </w:t>
      </w:r>
      <w:r w:rsidR="00BE6E46">
        <w:t>payments,</w:t>
      </w:r>
      <w:r>
        <w:t xml:space="preserve"> it is important that foster carers are provided with the financial support to enable them to care safely for the children in they are looking after.  This is in line with the National Minimum Standards for fostering and SCT’s health and safety responsibilities.  The payments have been in place for some time and</w:t>
      </w:r>
      <w:r w:rsidR="00BE6E46">
        <w:t xml:space="preserve"> have now been uplifted.</w:t>
      </w:r>
    </w:p>
    <w:tbl>
      <w:tblPr>
        <w:tblStyle w:val="TableGrid"/>
        <w:tblW w:w="0" w:type="auto"/>
        <w:tblLook w:val="04A0" w:firstRow="1" w:lastRow="0" w:firstColumn="1" w:lastColumn="0" w:noHBand="0" w:noVBand="1"/>
      </w:tblPr>
      <w:tblGrid>
        <w:gridCol w:w="3005"/>
        <w:gridCol w:w="3005"/>
        <w:gridCol w:w="3006"/>
      </w:tblGrid>
      <w:tr w:rsidR="00A77AA5" w14:paraId="42091152" w14:textId="77777777" w:rsidTr="007E756C">
        <w:tc>
          <w:tcPr>
            <w:tcW w:w="3005" w:type="dxa"/>
          </w:tcPr>
          <w:p w14:paraId="73B0DACE" w14:textId="77777777" w:rsidR="00A77AA5" w:rsidRDefault="00A77AA5" w:rsidP="007E756C">
            <w:r>
              <w:t>Item</w:t>
            </w:r>
          </w:p>
        </w:tc>
        <w:tc>
          <w:tcPr>
            <w:tcW w:w="3005" w:type="dxa"/>
          </w:tcPr>
          <w:p w14:paraId="62C71814" w14:textId="124611F2" w:rsidR="00A77AA5" w:rsidRDefault="00BE6E46" w:rsidP="007E756C">
            <w:r>
              <w:t>Previous</w:t>
            </w:r>
            <w:r w:rsidR="00A77AA5">
              <w:t xml:space="preserve"> </w:t>
            </w:r>
          </w:p>
        </w:tc>
        <w:tc>
          <w:tcPr>
            <w:tcW w:w="3006" w:type="dxa"/>
          </w:tcPr>
          <w:p w14:paraId="0AF3B23A" w14:textId="418887E9" w:rsidR="00A77AA5" w:rsidRDefault="00A77AA5" w:rsidP="007E756C">
            <w:r>
              <w:t>Increase</w:t>
            </w:r>
            <w:r w:rsidR="00BE6E46">
              <w:t xml:space="preserve"> 2023-2024</w:t>
            </w:r>
          </w:p>
        </w:tc>
      </w:tr>
      <w:tr w:rsidR="00A77AA5" w14:paraId="5B586363" w14:textId="77777777" w:rsidTr="007E756C">
        <w:tc>
          <w:tcPr>
            <w:tcW w:w="3005" w:type="dxa"/>
          </w:tcPr>
          <w:p w14:paraId="70EA3DBE" w14:textId="77777777" w:rsidR="00A77AA5" w:rsidRDefault="00A77AA5" w:rsidP="007E756C">
            <w:r>
              <w:t>Car Seats</w:t>
            </w:r>
          </w:p>
        </w:tc>
        <w:tc>
          <w:tcPr>
            <w:tcW w:w="3005" w:type="dxa"/>
          </w:tcPr>
          <w:p w14:paraId="654FA2C0" w14:textId="77777777" w:rsidR="00A77AA5" w:rsidRDefault="00A77AA5" w:rsidP="007E756C">
            <w:r>
              <w:t>£42.85</w:t>
            </w:r>
          </w:p>
        </w:tc>
        <w:tc>
          <w:tcPr>
            <w:tcW w:w="3006" w:type="dxa"/>
          </w:tcPr>
          <w:p w14:paraId="3B237BFD" w14:textId="77777777" w:rsidR="00A77AA5" w:rsidRDefault="00A77AA5" w:rsidP="007E756C">
            <w:r>
              <w:t>£70.00</w:t>
            </w:r>
          </w:p>
        </w:tc>
      </w:tr>
      <w:tr w:rsidR="00A77AA5" w14:paraId="32E8C6CE" w14:textId="77777777" w:rsidTr="007E756C">
        <w:tc>
          <w:tcPr>
            <w:tcW w:w="3005" w:type="dxa"/>
          </w:tcPr>
          <w:p w14:paraId="68E9BBEE" w14:textId="77777777" w:rsidR="00A77AA5" w:rsidRDefault="00A77AA5" w:rsidP="007E756C">
            <w:r>
              <w:t>Stairgate</w:t>
            </w:r>
          </w:p>
        </w:tc>
        <w:tc>
          <w:tcPr>
            <w:tcW w:w="3005" w:type="dxa"/>
          </w:tcPr>
          <w:p w14:paraId="69DB9A09" w14:textId="77777777" w:rsidR="00A77AA5" w:rsidRDefault="00A77AA5" w:rsidP="007E756C">
            <w:r>
              <w:t>£20.83</w:t>
            </w:r>
          </w:p>
        </w:tc>
        <w:tc>
          <w:tcPr>
            <w:tcW w:w="3006" w:type="dxa"/>
          </w:tcPr>
          <w:p w14:paraId="28B13FC9" w14:textId="77777777" w:rsidR="00A77AA5" w:rsidRDefault="00A77AA5" w:rsidP="007E756C">
            <w:r>
              <w:t>£30.00</w:t>
            </w:r>
          </w:p>
        </w:tc>
      </w:tr>
      <w:tr w:rsidR="00A77AA5" w14:paraId="23D8EAA0" w14:textId="77777777" w:rsidTr="007E756C">
        <w:tc>
          <w:tcPr>
            <w:tcW w:w="3005" w:type="dxa"/>
          </w:tcPr>
          <w:p w14:paraId="271F9CF0" w14:textId="77777777" w:rsidR="00A77AA5" w:rsidRDefault="00A77AA5" w:rsidP="007E756C">
            <w:r>
              <w:t>Single Buggies</w:t>
            </w:r>
          </w:p>
        </w:tc>
        <w:tc>
          <w:tcPr>
            <w:tcW w:w="3005" w:type="dxa"/>
          </w:tcPr>
          <w:p w14:paraId="02D45D56" w14:textId="77777777" w:rsidR="00A77AA5" w:rsidRDefault="00A77AA5" w:rsidP="007E756C">
            <w:r>
              <w:t>£116.16</w:t>
            </w:r>
          </w:p>
        </w:tc>
        <w:tc>
          <w:tcPr>
            <w:tcW w:w="3006" w:type="dxa"/>
          </w:tcPr>
          <w:p w14:paraId="280D5DEC" w14:textId="77777777" w:rsidR="00A77AA5" w:rsidRDefault="00A77AA5" w:rsidP="007E756C">
            <w:r>
              <w:t>None</w:t>
            </w:r>
          </w:p>
        </w:tc>
      </w:tr>
      <w:tr w:rsidR="00A77AA5" w14:paraId="36069AD8" w14:textId="77777777" w:rsidTr="007E756C">
        <w:tc>
          <w:tcPr>
            <w:tcW w:w="3005" w:type="dxa"/>
          </w:tcPr>
          <w:p w14:paraId="53ADB5F8" w14:textId="77777777" w:rsidR="00A77AA5" w:rsidRDefault="00A77AA5" w:rsidP="007E756C">
            <w:r>
              <w:t>Double Buggies</w:t>
            </w:r>
          </w:p>
        </w:tc>
        <w:tc>
          <w:tcPr>
            <w:tcW w:w="3005" w:type="dxa"/>
          </w:tcPr>
          <w:p w14:paraId="4A2ACDA0" w14:textId="77777777" w:rsidR="00A77AA5" w:rsidRDefault="00A77AA5" w:rsidP="007E756C">
            <w:r>
              <w:t>£189.00</w:t>
            </w:r>
          </w:p>
        </w:tc>
        <w:tc>
          <w:tcPr>
            <w:tcW w:w="3006" w:type="dxa"/>
          </w:tcPr>
          <w:p w14:paraId="671F477E" w14:textId="77777777" w:rsidR="00A77AA5" w:rsidRDefault="00A77AA5" w:rsidP="007E756C">
            <w:r>
              <w:t>None</w:t>
            </w:r>
          </w:p>
        </w:tc>
      </w:tr>
      <w:tr w:rsidR="00A77AA5" w14:paraId="33948581" w14:textId="77777777" w:rsidTr="007E756C">
        <w:tc>
          <w:tcPr>
            <w:tcW w:w="3005" w:type="dxa"/>
          </w:tcPr>
          <w:p w14:paraId="366F23CA" w14:textId="77777777" w:rsidR="00A77AA5" w:rsidRDefault="00A77AA5" w:rsidP="007E756C">
            <w:r>
              <w:t xml:space="preserve">Bed and mattress </w:t>
            </w:r>
          </w:p>
        </w:tc>
        <w:tc>
          <w:tcPr>
            <w:tcW w:w="3005" w:type="dxa"/>
          </w:tcPr>
          <w:p w14:paraId="60BCD59F" w14:textId="77777777" w:rsidR="00A77AA5" w:rsidRDefault="00A77AA5" w:rsidP="007E756C">
            <w:r>
              <w:t>£189.00</w:t>
            </w:r>
          </w:p>
        </w:tc>
        <w:tc>
          <w:tcPr>
            <w:tcW w:w="3006" w:type="dxa"/>
          </w:tcPr>
          <w:p w14:paraId="475C1B6A" w14:textId="77777777" w:rsidR="00A77AA5" w:rsidRDefault="00A77AA5" w:rsidP="007E756C">
            <w:r>
              <w:t xml:space="preserve">None </w:t>
            </w:r>
          </w:p>
        </w:tc>
      </w:tr>
      <w:tr w:rsidR="00A77AA5" w14:paraId="6B494293" w14:textId="77777777" w:rsidTr="007E756C">
        <w:tc>
          <w:tcPr>
            <w:tcW w:w="3005" w:type="dxa"/>
          </w:tcPr>
          <w:p w14:paraId="63D27117" w14:textId="77777777" w:rsidR="00A77AA5" w:rsidRDefault="00A77AA5" w:rsidP="007E756C">
            <w:r>
              <w:t>Drawers</w:t>
            </w:r>
          </w:p>
        </w:tc>
        <w:tc>
          <w:tcPr>
            <w:tcW w:w="3005" w:type="dxa"/>
          </w:tcPr>
          <w:p w14:paraId="1B496749" w14:textId="77777777" w:rsidR="00A77AA5" w:rsidRDefault="00A77AA5" w:rsidP="007E756C">
            <w:r>
              <w:t>£99.00</w:t>
            </w:r>
          </w:p>
        </w:tc>
        <w:tc>
          <w:tcPr>
            <w:tcW w:w="3006" w:type="dxa"/>
          </w:tcPr>
          <w:p w14:paraId="6A0C0C85" w14:textId="77777777" w:rsidR="00A77AA5" w:rsidRDefault="00A77AA5" w:rsidP="007E756C">
            <w:r>
              <w:t>None</w:t>
            </w:r>
          </w:p>
        </w:tc>
      </w:tr>
      <w:tr w:rsidR="00A77AA5" w14:paraId="00AF5B0B" w14:textId="77777777" w:rsidTr="007E756C">
        <w:tc>
          <w:tcPr>
            <w:tcW w:w="3005" w:type="dxa"/>
          </w:tcPr>
          <w:p w14:paraId="748BEFB2" w14:textId="77777777" w:rsidR="00A77AA5" w:rsidRDefault="00A77AA5" w:rsidP="007E756C">
            <w:r>
              <w:t>Bedding Bale</w:t>
            </w:r>
          </w:p>
        </w:tc>
        <w:tc>
          <w:tcPr>
            <w:tcW w:w="3005" w:type="dxa"/>
          </w:tcPr>
          <w:p w14:paraId="377767E4" w14:textId="77777777" w:rsidR="00A77AA5" w:rsidRDefault="00A77AA5" w:rsidP="007E756C">
            <w:r>
              <w:t>£39.57</w:t>
            </w:r>
          </w:p>
        </w:tc>
        <w:tc>
          <w:tcPr>
            <w:tcW w:w="3006" w:type="dxa"/>
          </w:tcPr>
          <w:p w14:paraId="7AD962C7" w14:textId="77777777" w:rsidR="00A77AA5" w:rsidRDefault="00A77AA5" w:rsidP="007E756C">
            <w:r>
              <w:t>None</w:t>
            </w:r>
          </w:p>
        </w:tc>
      </w:tr>
      <w:tr w:rsidR="00A77AA5" w14:paraId="7B7F632C" w14:textId="77777777" w:rsidTr="007E756C">
        <w:tc>
          <w:tcPr>
            <w:tcW w:w="3005" w:type="dxa"/>
          </w:tcPr>
          <w:p w14:paraId="62445417" w14:textId="77777777" w:rsidR="00A77AA5" w:rsidRDefault="00A77AA5" w:rsidP="007E756C">
            <w:r>
              <w:t xml:space="preserve">Cot &amp; Mattress </w:t>
            </w:r>
          </w:p>
        </w:tc>
        <w:tc>
          <w:tcPr>
            <w:tcW w:w="3005" w:type="dxa"/>
          </w:tcPr>
          <w:p w14:paraId="725ADECE" w14:textId="77777777" w:rsidR="00A77AA5" w:rsidRDefault="00A77AA5" w:rsidP="007E756C">
            <w:r>
              <w:t>£183.33</w:t>
            </w:r>
          </w:p>
        </w:tc>
        <w:tc>
          <w:tcPr>
            <w:tcW w:w="3006" w:type="dxa"/>
          </w:tcPr>
          <w:p w14:paraId="23227215" w14:textId="77777777" w:rsidR="00A77AA5" w:rsidRDefault="00A77AA5" w:rsidP="007E756C">
            <w:r>
              <w:t>None</w:t>
            </w:r>
          </w:p>
        </w:tc>
      </w:tr>
      <w:tr w:rsidR="00A77AA5" w14:paraId="118EDA75" w14:textId="77777777" w:rsidTr="007E756C">
        <w:tc>
          <w:tcPr>
            <w:tcW w:w="3005" w:type="dxa"/>
          </w:tcPr>
          <w:p w14:paraId="610C7D21" w14:textId="77777777" w:rsidR="00A77AA5" w:rsidRDefault="00A77AA5" w:rsidP="007E756C">
            <w:r>
              <w:t>Wardrobe</w:t>
            </w:r>
          </w:p>
        </w:tc>
        <w:tc>
          <w:tcPr>
            <w:tcW w:w="3005" w:type="dxa"/>
          </w:tcPr>
          <w:p w14:paraId="3729356D" w14:textId="77777777" w:rsidR="00A77AA5" w:rsidRDefault="00A77AA5" w:rsidP="007E756C">
            <w:r>
              <w:t>£179.</w:t>
            </w:r>
          </w:p>
        </w:tc>
        <w:tc>
          <w:tcPr>
            <w:tcW w:w="3006" w:type="dxa"/>
          </w:tcPr>
          <w:p w14:paraId="42F379A7" w14:textId="77777777" w:rsidR="00A77AA5" w:rsidRDefault="00A77AA5" w:rsidP="007E756C">
            <w:r>
              <w:t>None</w:t>
            </w:r>
          </w:p>
        </w:tc>
      </w:tr>
      <w:tr w:rsidR="00A77AA5" w14:paraId="448F722F" w14:textId="77777777" w:rsidTr="007E756C">
        <w:tc>
          <w:tcPr>
            <w:tcW w:w="3005" w:type="dxa"/>
          </w:tcPr>
          <w:p w14:paraId="305F655D" w14:textId="77777777" w:rsidR="00A77AA5" w:rsidRPr="00556F06" w:rsidRDefault="00A77AA5" w:rsidP="007E756C">
            <w:pPr>
              <w:rPr>
                <w:b/>
                <w:bCs/>
              </w:rPr>
            </w:pPr>
            <w:r w:rsidRPr="00556F06">
              <w:rPr>
                <w:b/>
                <w:bCs/>
              </w:rPr>
              <w:t>Additions</w:t>
            </w:r>
          </w:p>
        </w:tc>
        <w:tc>
          <w:tcPr>
            <w:tcW w:w="3005" w:type="dxa"/>
          </w:tcPr>
          <w:p w14:paraId="56C076BA" w14:textId="77777777" w:rsidR="00A77AA5" w:rsidRDefault="00A77AA5" w:rsidP="007E756C"/>
        </w:tc>
        <w:tc>
          <w:tcPr>
            <w:tcW w:w="3006" w:type="dxa"/>
          </w:tcPr>
          <w:p w14:paraId="3097A486" w14:textId="77777777" w:rsidR="00A77AA5" w:rsidRDefault="00A77AA5" w:rsidP="007E756C"/>
        </w:tc>
      </w:tr>
      <w:tr w:rsidR="00A77AA5" w14:paraId="3D29F9D7" w14:textId="77777777" w:rsidTr="007E756C">
        <w:tc>
          <w:tcPr>
            <w:tcW w:w="3005" w:type="dxa"/>
          </w:tcPr>
          <w:p w14:paraId="4E1C562E" w14:textId="77777777" w:rsidR="00A77AA5" w:rsidRDefault="00A77AA5" w:rsidP="007E756C">
            <w:r>
              <w:t>Start-up Baby Equipment</w:t>
            </w:r>
          </w:p>
        </w:tc>
        <w:tc>
          <w:tcPr>
            <w:tcW w:w="3005" w:type="dxa"/>
          </w:tcPr>
          <w:p w14:paraId="30230C23" w14:textId="77777777" w:rsidR="00A77AA5" w:rsidRDefault="00A77AA5" w:rsidP="007E756C"/>
        </w:tc>
        <w:tc>
          <w:tcPr>
            <w:tcW w:w="3006" w:type="dxa"/>
          </w:tcPr>
          <w:p w14:paraId="4B9563FF" w14:textId="77777777" w:rsidR="00A77AA5" w:rsidRDefault="00A77AA5" w:rsidP="007E756C"/>
        </w:tc>
      </w:tr>
      <w:tr w:rsidR="00A77AA5" w14:paraId="5E8D624A" w14:textId="77777777" w:rsidTr="007E756C">
        <w:tc>
          <w:tcPr>
            <w:tcW w:w="3005" w:type="dxa"/>
          </w:tcPr>
          <w:p w14:paraId="0E627C88" w14:textId="77777777" w:rsidR="00A77AA5" w:rsidRDefault="00A77AA5" w:rsidP="007E756C">
            <w:r>
              <w:t>Changing mat/Bag</w:t>
            </w:r>
          </w:p>
        </w:tc>
        <w:tc>
          <w:tcPr>
            <w:tcW w:w="3005" w:type="dxa"/>
          </w:tcPr>
          <w:p w14:paraId="7350358F" w14:textId="77777777" w:rsidR="00A77AA5" w:rsidRDefault="00A77AA5" w:rsidP="007E756C">
            <w:r>
              <w:t>£30.00</w:t>
            </w:r>
          </w:p>
        </w:tc>
        <w:tc>
          <w:tcPr>
            <w:tcW w:w="3006" w:type="dxa"/>
          </w:tcPr>
          <w:p w14:paraId="6723AC14" w14:textId="77777777" w:rsidR="00A77AA5" w:rsidRDefault="00A77AA5" w:rsidP="007E756C">
            <w:r>
              <w:t>£30.00</w:t>
            </w:r>
          </w:p>
        </w:tc>
      </w:tr>
      <w:tr w:rsidR="00A77AA5" w14:paraId="766B978D" w14:textId="77777777" w:rsidTr="007E756C">
        <w:tc>
          <w:tcPr>
            <w:tcW w:w="3005" w:type="dxa"/>
          </w:tcPr>
          <w:p w14:paraId="7100A7B7" w14:textId="77777777" w:rsidR="00A77AA5" w:rsidRDefault="00A77AA5" w:rsidP="007E756C">
            <w:r>
              <w:t>Steriliser</w:t>
            </w:r>
          </w:p>
        </w:tc>
        <w:tc>
          <w:tcPr>
            <w:tcW w:w="3005" w:type="dxa"/>
          </w:tcPr>
          <w:p w14:paraId="412F1AD4" w14:textId="77777777" w:rsidR="00A77AA5" w:rsidRDefault="00A77AA5" w:rsidP="007E756C">
            <w:r>
              <w:t>£50.00</w:t>
            </w:r>
          </w:p>
        </w:tc>
        <w:tc>
          <w:tcPr>
            <w:tcW w:w="3006" w:type="dxa"/>
          </w:tcPr>
          <w:p w14:paraId="472520E4" w14:textId="77777777" w:rsidR="00A77AA5" w:rsidRDefault="00A77AA5" w:rsidP="007E756C">
            <w:r>
              <w:t>£50.00</w:t>
            </w:r>
          </w:p>
        </w:tc>
      </w:tr>
      <w:tr w:rsidR="00A77AA5" w14:paraId="76A9BB9E" w14:textId="77777777" w:rsidTr="007E756C">
        <w:tc>
          <w:tcPr>
            <w:tcW w:w="3005" w:type="dxa"/>
          </w:tcPr>
          <w:p w14:paraId="18A1FC6D" w14:textId="77777777" w:rsidR="00A77AA5" w:rsidRDefault="00A77AA5" w:rsidP="007E756C">
            <w:r>
              <w:t>Highchair</w:t>
            </w:r>
          </w:p>
        </w:tc>
        <w:tc>
          <w:tcPr>
            <w:tcW w:w="3005" w:type="dxa"/>
          </w:tcPr>
          <w:p w14:paraId="195DB359" w14:textId="77777777" w:rsidR="00A77AA5" w:rsidRDefault="00A77AA5" w:rsidP="007E756C">
            <w:r>
              <w:t>£50.00</w:t>
            </w:r>
          </w:p>
        </w:tc>
        <w:tc>
          <w:tcPr>
            <w:tcW w:w="3006" w:type="dxa"/>
          </w:tcPr>
          <w:p w14:paraId="3AB61754" w14:textId="77777777" w:rsidR="00A77AA5" w:rsidRDefault="00A77AA5" w:rsidP="007E756C">
            <w:r>
              <w:t>£50.00</w:t>
            </w:r>
          </w:p>
        </w:tc>
      </w:tr>
      <w:tr w:rsidR="00A77AA5" w14:paraId="02B44581" w14:textId="77777777" w:rsidTr="007E756C">
        <w:tc>
          <w:tcPr>
            <w:tcW w:w="3005" w:type="dxa"/>
          </w:tcPr>
          <w:p w14:paraId="688F8EE3" w14:textId="77777777" w:rsidR="00A77AA5" w:rsidRDefault="00A77AA5" w:rsidP="007E756C">
            <w:r>
              <w:t>Monitor</w:t>
            </w:r>
          </w:p>
        </w:tc>
        <w:tc>
          <w:tcPr>
            <w:tcW w:w="3005" w:type="dxa"/>
          </w:tcPr>
          <w:p w14:paraId="66698948" w14:textId="77777777" w:rsidR="00A77AA5" w:rsidRDefault="00A77AA5" w:rsidP="007E756C">
            <w:r>
              <w:t>£50.00</w:t>
            </w:r>
          </w:p>
        </w:tc>
        <w:tc>
          <w:tcPr>
            <w:tcW w:w="3006" w:type="dxa"/>
          </w:tcPr>
          <w:p w14:paraId="79C481CB" w14:textId="77777777" w:rsidR="00A77AA5" w:rsidRDefault="00A77AA5" w:rsidP="007E756C">
            <w:r>
              <w:t>£50.00</w:t>
            </w:r>
          </w:p>
        </w:tc>
      </w:tr>
    </w:tbl>
    <w:p w14:paraId="58DB29F9" w14:textId="77777777" w:rsidR="00A77AA5" w:rsidRDefault="00A77AA5" w:rsidP="00A77AA5"/>
    <w:p w14:paraId="6AE61391" w14:textId="77777777" w:rsidR="00A77AA5" w:rsidRDefault="00A77AA5" w:rsidP="00A77AA5">
      <w:r>
        <w:t>Equipment remains the property of SCT and should not be handed over at the point of any move without written agreement from the fostering service manager.</w:t>
      </w:r>
    </w:p>
    <w:p w14:paraId="178997EA" w14:textId="77777777" w:rsidR="00A77AA5" w:rsidRDefault="00A77AA5" w:rsidP="00A77AA5">
      <w:r>
        <w:t>Receipts should be provided by foster carers.</w:t>
      </w:r>
    </w:p>
    <w:p w14:paraId="15C87B86" w14:textId="6F152D03" w:rsidR="00BE6E46" w:rsidRDefault="00BE6E46" w:rsidP="00A77AA5"/>
    <w:p w14:paraId="32AA3C46" w14:textId="77777777" w:rsidR="00AA2D99" w:rsidRPr="00A77AA5" w:rsidRDefault="00AA2D99" w:rsidP="00A77AA5"/>
    <w:sectPr w:rsidR="00AA2D99" w:rsidRPr="00A77AA5" w:rsidSect="002912BB">
      <w:headerReference w:type="default" r:id="rId7"/>
      <w:pgSz w:w="11906" w:h="16838"/>
      <w:pgMar w:top="1985" w:right="720" w:bottom="720" w:left="720"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6D361" w14:textId="77777777" w:rsidR="00F02C56" w:rsidRDefault="00F02C56" w:rsidP="002912BB">
      <w:pPr>
        <w:spacing w:after="0" w:line="240" w:lineRule="auto"/>
      </w:pPr>
      <w:r>
        <w:separator/>
      </w:r>
    </w:p>
  </w:endnote>
  <w:endnote w:type="continuationSeparator" w:id="0">
    <w:p w14:paraId="4EA0E5F3" w14:textId="77777777" w:rsidR="00F02C56" w:rsidRDefault="00F02C56" w:rsidP="0029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SPCC Light">
    <w:altName w:val="Calibri"/>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3B255" w14:textId="77777777" w:rsidR="00F02C56" w:rsidRDefault="00F02C56" w:rsidP="002912BB">
      <w:pPr>
        <w:spacing w:after="0" w:line="240" w:lineRule="auto"/>
      </w:pPr>
      <w:r>
        <w:separator/>
      </w:r>
    </w:p>
  </w:footnote>
  <w:footnote w:type="continuationSeparator" w:id="0">
    <w:p w14:paraId="2268AAAB" w14:textId="77777777" w:rsidR="00F02C56" w:rsidRDefault="00F02C56" w:rsidP="00291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B7F7" w14:textId="09687C7F" w:rsidR="00374A89" w:rsidRDefault="00374A89" w:rsidP="002912BB">
    <w:pPr>
      <w:pStyle w:val="Header"/>
      <w:tabs>
        <w:tab w:val="clear" w:pos="4513"/>
        <w:tab w:val="clear" w:pos="9026"/>
        <w:tab w:val="left" w:pos="5810"/>
      </w:tabs>
    </w:pPr>
    <w:r>
      <w:rPr>
        <w:noProof/>
      </w:rPr>
      <w:drawing>
        <wp:anchor distT="0" distB="0" distL="114300" distR="114300" simplePos="0" relativeHeight="251658240" behindDoc="1" locked="0" layoutInCell="1" allowOverlap="1" wp14:anchorId="3B9534D1" wp14:editId="560E64C2">
          <wp:simplePos x="0" y="0"/>
          <wp:positionH relativeFrom="margin">
            <wp:posOffset>-316940</wp:posOffset>
          </wp:positionH>
          <wp:positionV relativeFrom="paragraph">
            <wp:posOffset>-328295</wp:posOffset>
          </wp:positionV>
          <wp:extent cx="7284657" cy="8624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4657" cy="862464"/>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34F35"/>
    <w:multiLevelType w:val="hybridMultilevel"/>
    <w:tmpl w:val="DE24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BA06EB"/>
    <w:multiLevelType w:val="hybridMultilevel"/>
    <w:tmpl w:val="58B6D0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BB"/>
    <w:rsid w:val="00081395"/>
    <w:rsid w:val="0012118E"/>
    <w:rsid w:val="001D69F2"/>
    <w:rsid w:val="002912BB"/>
    <w:rsid w:val="00374A89"/>
    <w:rsid w:val="00522821"/>
    <w:rsid w:val="00526B6F"/>
    <w:rsid w:val="0068127E"/>
    <w:rsid w:val="007A657D"/>
    <w:rsid w:val="008475E8"/>
    <w:rsid w:val="009C53AD"/>
    <w:rsid w:val="00A61A05"/>
    <w:rsid w:val="00A77AA5"/>
    <w:rsid w:val="00AA2D99"/>
    <w:rsid w:val="00AB64FF"/>
    <w:rsid w:val="00B74D01"/>
    <w:rsid w:val="00BE6E46"/>
    <w:rsid w:val="00CE6928"/>
    <w:rsid w:val="00E50D1F"/>
    <w:rsid w:val="00F0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8F5CC"/>
  <w15:chartTrackingRefBased/>
  <w15:docId w15:val="{88D740DC-AD2E-461D-8517-56A88B76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18E"/>
    <w:rPr>
      <w:rFonts w:eastAsiaTheme="minorEastAsia"/>
      <w:sz w:val="24"/>
    </w:rPr>
  </w:style>
  <w:style w:type="paragraph" w:styleId="Heading1">
    <w:name w:val="heading 1"/>
    <w:basedOn w:val="Normal"/>
    <w:next w:val="Normal"/>
    <w:link w:val="Heading1Char"/>
    <w:uiPriority w:val="9"/>
    <w:qFormat/>
    <w:rsid w:val="0012118E"/>
    <w:pPr>
      <w:keepNext/>
      <w:keepLines/>
      <w:spacing w:before="400" w:after="40" w:line="240" w:lineRule="auto"/>
      <w:outlineLvl w:val="0"/>
    </w:pPr>
    <w:rPr>
      <w:rFonts w:ascii="Franklin Gothic Medium" w:eastAsiaTheme="majorEastAsia" w:hAnsi="Franklin Gothic Medium" w:cstheme="majorBidi"/>
      <w:color w:val="005F72"/>
      <w:sz w:val="36"/>
      <w:szCs w:val="36"/>
    </w:rPr>
  </w:style>
  <w:style w:type="paragraph" w:styleId="Heading2">
    <w:name w:val="heading 2"/>
    <w:basedOn w:val="Normal"/>
    <w:next w:val="Normal"/>
    <w:link w:val="Heading2Char"/>
    <w:uiPriority w:val="9"/>
    <w:unhideWhenUsed/>
    <w:qFormat/>
    <w:rsid w:val="0012118E"/>
    <w:pPr>
      <w:keepNext/>
      <w:keepLines/>
      <w:spacing w:before="40" w:after="0" w:line="240" w:lineRule="auto"/>
      <w:outlineLvl w:val="1"/>
    </w:pPr>
    <w:rPr>
      <w:rFonts w:ascii="Franklin Gothic Medium" w:eastAsiaTheme="majorEastAsia" w:hAnsi="Franklin Gothic Medium" w:cstheme="majorBidi"/>
      <w:color w:val="005F72"/>
      <w:sz w:val="32"/>
      <w:szCs w:val="32"/>
    </w:rPr>
  </w:style>
  <w:style w:type="paragraph" w:styleId="Heading3">
    <w:name w:val="heading 3"/>
    <w:basedOn w:val="Normal"/>
    <w:next w:val="Normal"/>
    <w:link w:val="Heading3Char"/>
    <w:uiPriority w:val="9"/>
    <w:semiHidden/>
    <w:unhideWhenUsed/>
    <w:qFormat/>
    <w:rsid w:val="0012118E"/>
    <w:pPr>
      <w:keepNext/>
      <w:keepLines/>
      <w:spacing w:before="40" w:after="0" w:line="240" w:lineRule="auto"/>
      <w:outlineLvl w:val="2"/>
    </w:pPr>
    <w:rPr>
      <w:rFonts w:ascii="Franklin Gothic Medium" w:eastAsiaTheme="majorEastAsia" w:hAnsi="Franklin Gothic Medium" w:cstheme="majorBidi"/>
      <w:color w:val="0020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18E"/>
    <w:rPr>
      <w:rFonts w:ascii="Franklin Gothic Medium" w:eastAsiaTheme="majorEastAsia" w:hAnsi="Franklin Gothic Medium" w:cstheme="majorBidi"/>
      <w:color w:val="005F72"/>
      <w:sz w:val="36"/>
      <w:szCs w:val="36"/>
    </w:rPr>
  </w:style>
  <w:style w:type="character" w:customStyle="1" w:styleId="Heading2Char">
    <w:name w:val="Heading 2 Char"/>
    <w:basedOn w:val="DefaultParagraphFont"/>
    <w:link w:val="Heading2"/>
    <w:uiPriority w:val="9"/>
    <w:rsid w:val="0012118E"/>
    <w:rPr>
      <w:rFonts w:ascii="Franklin Gothic Medium" w:eastAsiaTheme="majorEastAsia" w:hAnsi="Franklin Gothic Medium" w:cstheme="majorBidi"/>
      <w:color w:val="005F72"/>
      <w:sz w:val="32"/>
      <w:szCs w:val="32"/>
    </w:rPr>
  </w:style>
  <w:style w:type="character" w:customStyle="1" w:styleId="Heading3Char">
    <w:name w:val="Heading 3 Char"/>
    <w:basedOn w:val="DefaultParagraphFont"/>
    <w:link w:val="Heading3"/>
    <w:uiPriority w:val="9"/>
    <w:semiHidden/>
    <w:rsid w:val="0012118E"/>
    <w:rPr>
      <w:rFonts w:ascii="Franklin Gothic Medium" w:eastAsiaTheme="majorEastAsia" w:hAnsi="Franklin Gothic Medium" w:cstheme="majorBidi"/>
      <w:color w:val="002060"/>
      <w:sz w:val="28"/>
      <w:szCs w:val="28"/>
    </w:rPr>
  </w:style>
  <w:style w:type="paragraph" w:styleId="Header">
    <w:name w:val="header"/>
    <w:basedOn w:val="Normal"/>
    <w:link w:val="HeaderChar"/>
    <w:uiPriority w:val="99"/>
    <w:unhideWhenUsed/>
    <w:rsid w:val="00291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2BB"/>
    <w:rPr>
      <w:rFonts w:eastAsiaTheme="minorEastAsia"/>
      <w:sz w:val="24"/>
    </w:rPr>
  </w:style>
  <w:style w:type="paragraph" w:styleId="Footer">
    <w:name w:val="footer"/>
    <w:basedOn w:val="Normal"/>
    <w:link w:val="FooterChar"/>
    <w:uiPriority w:val="99"/>
    <w:unhideWhenUsed/>
    <w:rsid w:val="00291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2BB"/>
    <w:rPr>
      <w:rFonts w:eastAsiaTheme="minorEastAsia"/>
      <w:sz w:val="24"/>
    </w:rPr>
  </w:style>
  <w:style w:type="character" w:customStyle="1" w:styleId="legscheduleno">
    <w:name w:val="legscheduleno"/>
    <w:rsid w:val="00B74D01"/>
  </w:style>
  <w:style w:type="paragraph" w:customStyle="1" w:styleId="legp1paratext">
    <w:name w:val="legp1paratext"/>
    <w:basedOn w:val="Normal"/>
    <w:rsid w:val="00B74D01"/>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B74D01"/>
    <w:rPr>
      <w:color w:val="0563C1" w:themeColor="hyperlink"/>
      <w:u w:val="single"/>
    </w:rPr>
  </w:style>
  <w:style w:type="table" w:styleId="TableGrid">
    <w:name w:val="Table Grid"/>
    <w:basedOn w:val="TableNormal"/>
    <w:uiPriority w:val="39"/>
    <w:rsid w:val="008475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Overview2">
    <w:name w:val="FormOverview2"/>
    <w:basedOn w:val="Normal"/>
    <w:next w:val="Normal"/>
    <w:rsid w:val="00374A89"/>
    <w:pPr>
      <w:spacing w:after="0" w:line="240" w:lineRule="auto"/>
      <w:jc w:val="center"/>
    </w:pPr>
    <w:rPr>
      <w:rFonts w:ascii="Bookman Old Style" w:eastAsia="Times New Roman" w:hAnsi="Bookman Old Style" w:cs="Courier New"/>
      <w:sz w:val="20"/>
      <w:szCs w:val="20"/>
    </w:rPr>
  </w:style>
  <w:style w:type="paragraph" w:customStyle="1" w:styleId="10Bold">
    <w:name w:val="10Bold"/>
    <w:basedOn w:val="Normal"/>
    <w:next w:val="Normal"/>
    <w:rsid w:val="00374A89"/>
    <w:pPr>
      <w:spacing w:before="80" w:after="80" w:line="240" w:lineRule="auto"/>
    </w:pPr>
    <w:rPr>
      <w:rFonts w:ascii="Arial" w:eastAsia="Times New Roman" w:hAnsi="Arial" w:cs="Courier New"/>
      <w:b/>
      <w:caps/>
      <w:sz w:val="20"/>
      <w:szCs w:val="20"/>
    </w:rPr>
  </w:style>
  <w:style w:type="paragraph" w:customStyle="1" w:styleId="Arial">
    <w:name w:val="Arial"/>
    <w:basedOn w:val="Normal"/>
    <w:next w:val="Normal"/>
    <w:rsid w:val="00374A89"/>
    <w:pPr>
      <w:spacing w:before="40" w:after="40" w:line="240" w:lineRule="auto"/>
    </w:pPr>
    <w:rPr>
      <w:rFonts w:ascii="Arial" w:eastAsia="Times New Roman" w:hAnsi="Arial" w:cs="Arial"/>
      <w:sz w:val="20"/>
      <w:szCs w:val="20"/>
    </w:rPr>
  </w:style>
  <w:style w:type="paragraph" w:customStyle="1" w:styleId="TableHeading2">
    <w:name w:val="TableHeading2"/>
    <w:basedOn w:val="Normal"/>
    <w:next w:val="Normal"/>
    <w:rsid w:val="00374A89"/>
    <w:pPr>
      <w:spacing w:before="120" w:after="120" w:line="240" w:lineRule="auto"/>
    </w:pPr>
    <w:rPr>
      <w:rFonts w:ascii="Arial" w:eastAsia="Times New Roman" w:hAnsi="Arial" w:cs="Courier New"/>
      <w:b/>
      <w:caps/>
      <w:sz w:val="20"/>
      <w:szCs w:val="20"/>
    </w:rPr>
  </w:style>
  <w:style w:type="paragraph" w:styleId="EndnoteText">
    <w:name w:val="endnote text"/>
    <w:basedOn w:val="Normal"/>
    <w:link w:val="EndnoteTextChar"/>
    <w:semiHidden/>
    <w:unhideWhenUsed/>
    <w:qFormat/>
    <w:rsid w:val="00526B6F"/>
    <w:pPr>
      <w:spacing w:after="120" w:line="240" w:lineRule="auto"/>
      <w:jc w:val="both"/>
    </w:pPr>
    <w:rPr>
      <w:rFonts w:ascii="NSPCC Light" w:eastAsiaTheme="minorHAnsi" w:hAnsi="NSPCC Light" w:cs="Arial"/>
      <w:sz w:val="18"/>
    </w:rPr>
  </w:style>
  <w:style w:type="character" w:customStyle="1" w:styleId="EndnoteTextChar">
    <w:name w:val="Endnote Text Char"/>
    <w:basedOn w:val="DefaultParagraphFont"/>
    <w:link w:val="EndnoteText"/>
    <w:semiHidden/>
    <w:rsid w:val="00526B6F"/>
    <w:rPr>
      <w:rFonts w:ascii="NSPCC Light" w:hAnsi="NSPCC Light" w:cs="Arial"/>
      <w:sz w:val="18"/>
    </w:rPr>
  </w:style>
  <w:style w:type="paragraph" w:styleId="Title">
    <w:name w:val="Title"/>
    <w:basedOn w:val="Normal"/>
    <w:next w:val="Normal"/>
    <w:link w:val="TitleChar"/>
    <w:uiPriority w:val="10"/>
    <w:qFormat/>
    <w:rsid w:val="00526B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6B6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26B6F"/>
    <w:pPr>
      <w:ind w:left="720"/>
      <w:contextualSpacing/>
    </w:pPr>
    <w:rPr>
      <w:rFonts w:ascii="Verdana" w:eastAsiaTheme="minorHAnsi" w:hAnsi="Verdana"/>
      <w:sz w:val="22"/>
    </w:rPr>
  </w:style>
  <w:style w:type="character" w:styleId="EndnoteReference">
    <w:name w:val="endnote reference"/>
    <w:basedOn w:val="DefaultParagraphFont"/>
    <w:uiPriority w:val="99"/>
    <w:semiHidden/>
    <w:unhideWhenUsed/>
    <w:rsid w:val="00526B6F"/>
    <w:rPr>
      <w:vertAlign w:val="superscript"/>
    </w:rPr>
  </w:style>
  <w:style w:type="paragraph" w:customStyle="1" w:styleId="Default">
    <w:name w:val="Default"/>
    <w:rsid w:val="00AA2D9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77A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16436">
      <w:bodyDiv w:val="1"/>
      <w:marLeft w:val="0"/>
      <w:marRight w:val="0"/>
      <w:marTop w:val="0"/>
      <w:marBottom w:val="0"/>
      <w:divBdr>
        <w:top w:val="none" w:sz="0" w:space="0" w:color="auto"/>
        <w:left w:val="none" w:sz="0" w:space="0" w:color="auto"/>
        <w:bottom w:val="none" w:sz="0" w:space="0" w:color="auto"/>
        <w:right w:val="none" w:sz="0" w:space="0" w:color="auto"/>
      </w:divBdr>
    </w:div>
    <w:div w:id="126086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Whittingham</dc:creator>
  <cp:keywords/>
  <dc:description/>
  <cp:lastModifiedBy>Michelle Hicken</cp:lastModifiedBy>
  <cp:revision>2</cp:revision>
  <dcterms:created xsi:type="dcterms:W3CDTF">2024-03-08T16:13:00Z</dcterms:created>
  <dcterms:modified xsi:type="dcterms:W3CDTF">2024-03-08T16:13:00Z</dcterms:modified>
</cp:coreProperties>
</file>