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54565C96" w14:textId="2692CFF4" w:rsidR="00A410F7" w:rsidRDefault="00BE2B6F" w:rsidP="002B3400">
      <w:pPr>
        <w:tabs>
          <w:tab w:val="left" w:pos="2805"/>
          <w:tab w:val="center" w:pos="4513"/>
        </w:tabs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BB19672" wp14:editId="627370C3">
            <wp:extent cx="2676525" cy="695215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7A99F75-2C86-49EF-B60B-5AC52BACD3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7A99F75-2C86-49EF-B60B-5AC52BACD3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01" cy="71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08307" w14:textId="77777777" w:rsidR="00BA1407" w:rsidRDefault="00BA1407" w:rsidP="002B3400">
      <w:pPr>
        <w:tabs>
          <w:tab w:val="left" w:pos="2805"/>
          <w:tab w:val="center" w:pos="4513"/>
        </w:tabs>
        <w:spacing w:after="0"/>
        <w:jc w:val="center"/>
        <w:rPr>
          <w:b/>
          <w:sz w:val="32"/>
          <w:szCs w:val="32"/>
        </w:rPr>
      </w:pPr>
    </w:p>
    <w:p w14:paraId="5E8863DC" w14:textId="153908E7" w:rsidR="00BA1407" w:rsidRDefault="00F77445" w:rsidP="00BA1407">
      <w:pPr>
        <w:tabs>
          <w:tab w:val="left" w:pos="2805"/>
          <w:tab w:val="center" w:pos="4513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Good Practice </w:t>
      </w:r>
      <w:r w:rsidR="00BE2B6F">
        <w:rPr>
          <w:b/>
          <w:sz w:val="32"/>
          <w:szCs w:val="32"/>
        </w:rPr>
        <w:t xml:space="preserve">guide – </w:t>
      </w:r>
      <w:r w:rsidR="004D79FA">
        <w:rPr>
          <w:b/>
          <w:sz w:val="32"/>
          <w:szCs w:val="32"/>
        </w:rPr>
        <w:t>C</w:t>
      </w:r>
      <w:r w:rsidR="00BE2B6F">
        <w:rPr>
          <w:b/>
          <w:sz w:val="32"/>
          <w:szCs w:val="32"/>
        </w:rPr>
        <w:t xml:space="preserve">ase </w:t>
      </w:r>
      <w:r w:rsidR="004D79FA">
        <w:rPr>
          <w:b/>
          <w:sz w:val="32"/>
          <w:szCs w:val="32"/>
        </w:rPr>
        <w:t>C</w:t>
      </w:r>
      <w:r w:rsidR="0031790D">
        <w:rPr>
          <w:b/>
          <w:sz w:val="32"/>
          <w:szCs w:val="32"/>
        </w:rPr>
        <w:t>losure</w:t>
      </w:r>
    </w:p>
    <w:p w14:paraId="0480FE0C" w14:textId="48174CE0" w:rsidR="00BA1407" w:rsidRPr="007B281C" w:rsidRDefault="00F72697" w:rsidP="002B3400">
      <w:pPr>
        <w:tabs>
          <w:tab w:val="left" w:pos="2805"/>
          <w:tab w:val="center" w:pos="4513"/>
        </w:tabs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75E3B" wp14:editId="40ED07BD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616065" cy="2257425"/>
                <wp:effectExtent l="0" t="0" r="13335" b="2857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065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75E51" w14:textId="203FD103" w:rsidR="00975DF9" w:rsidRDefault="00975DF9" w:rsidP="003328C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72697">
                              <w:rPr>
                                <w:b/>
                                <w:sz w:val="24"/>
                                <w:szCs w:val="24"/>
                              </w:rPr>
                              <w:t>The Background</w:t>
                            </w:r>
                          </w:p>
                          <w:p w14:paraId="4B421DE8" w14:textId="77777777" w:rsidR="00F72697" w:rsidRPr="00F72697" w:rsidRDefault="00F72697" w:rsidP="003328C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DD3926" w14:textId="41D58112" w:rsidR="004D79FA" w:rsidRPr="00F72697" w:rsidRDefault="00CE6E37" w:rsidP="000C2954">
                            <w:pPr>
                              <w:jc w:val="both"/>
                            </w:pPr>
                            <w:r>
                              <w:t>In</w:t>
                            </w:r>
                            <w:r w:rsidR="0031790D" w:rsidRPr="00F72697">
                              <w:t xml:space="preserve"> Child Safeguarding Practice Reviews, Rapid Reviews and QA work</w:t>
                            </w:r>
                            <w:r>
                              <w:t>,</w:t>
                            </w:r>
                            <w:r w:rsidR="0031790D" w:rsidRPr="00F72697">
                              <w:t xml:space="preserve"> we have identified learning around good communication when closing a case and </w:t>
                            </w:r>
                            <w:r>
                              <w:t xml:space="preserve">this </w:t>
                            </w:r>
                            <w:r w:rsidR="0031790D" w:rsidRPr="00F72697">
                              <w:t xml:space="preserve">has been identified as an area of improvement for NCT as a whole. </w:t>
                            </w:r>
                          </w:p>
                          <w:p w14:paraId="7AECDB15" w14:textId="555233D2" w:rsidR="00B1306A" w:rsidRPr="00F72697" w:rsidRDefault="0031790D" w:rsidP="000C2954">
                            <w:pPr>
                              <w:jc w:val="both"/>
                            </w:pPr>
                            <w:r w:rsidRPr="00F72697">
                              <w:t>Reviews have highlighted that some professionals who are supporting families have not been aware of case closures</w:t>
                            </w:r>
                            <w:r w:rsidR="004D79FA" w:rsidRPr="00F72697">
                              <w:t>/step</w:t>
                            </w:r>
                            <w:r w:rsidR="00CE6E37">
                              <w:t>-</w:t>
                            </w:r>
                            <w:r w:rsidR="004D79FA" w:rsidRPr="00F72697">
                              <w:t>down</w:t>
                            </w:r>
                            <w:r w:rsidRPr="00F72697">
                              <w:t xml:space="preserve"> or outcomes of assessments and</w:t>
                            </w:r>
                            <w:r w:rsidR="00CE6E37">
                              <w:t>,</w:t>
                            </w:r>
                            <w:r w:rsidRPr="00F72697">
                              <w:t xml:space="preserve"> if they had been aware of these, their decision</w:t>
                            </w:r>
                            <w:r w:rsidR="00CE6E37">
                              <w:t>-</w:t>
                            </w:r>
                            <w:r w:rsidRPr="00F72697">
                              <w:t>making may have been better</w:t>
                            </w:r>
                            <w:r w:rsidR="00CE6E37">
                              <w:t>-</w:t>
                            </w:r>
                            <w:r w:rsidRPr="00F72697">
                              <w:t xml:space="preserve">informed when they </w:t>
                            </w:r>
                            <w:r w:rsidR="00CE6E37">
                              <w:t xml:space="preserve">have needed </w:t>
                            </w:r>
                            <w:r w:rsidRPr="00F72697">
                              <w:t xml:space="preserve">to make key safeguarding decisions for a child, young person or family.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75E3B" id="AutoShape 4" o:spid="_x0000_s1026" style="position:absolute;left:0;text-align:left;margin-left:0;margin-top:9.35pt;width:520.95pt;height:17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" fillcolor="white [3201]" strokecolor="#76923c [2406]" strokeweight="2pt">
                <v:textbox>
                  <w:txbxContent>
                    <w:p w14:paraId="13475E51" w14:textId="203FD103" w:rsidR="00975DF9" w:rsidRDefault="00975DF9" w:rsidP="003328C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72697">
                        <w:rPr>
                          <w:b/>
                          <w:sz w:val="24"/>
                          <w:szCs w:val="24"/>
                        </w:rPr>
                        <w:t>The Background</w:t>
                      </w:r>
                    </w:p>
                    <w:p w14:paraId="4B421DE8" w14:textId="77777777" w:rsidR="00F72697" w:rsidRPr="00F72697" w:rsidRDefault="00F72697" w:rsidP="003328C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DD3926" w14:textId="41D58112" w:rsidR="004D79FA" w:rsidRPr="00F72697" w:rsidRDefault="00CE6E37" w:rsidP="000C2954">
                      <w:pPr>
                        <w:jc w:val="both"/>
                      </w:pPr>
                      <w:r>
                        <w:t>In</w:t>
                      </w:r>
                      <w:r w:rsidR="0031790D" w:rsidRPr="00F72697">
                        <w:t xml:space="preserve"> Child Safeguarding Practice Reviews, Rapid Reviews and QA work</w:t>
                      </w:r>
                      <w:r>
                        <w:t>,</w:t>
                      </w:r>
                      <w:r w:rsidR="0031790D" w:rsidRPr="00F72697">
                        <w:t xml:space="preserve"> we have identified learning around good communication when closing a case and </w:t>
                      </w:r>
                      <w:r>
                        <w:t xml:space="preserve">this </w:t>
                      </w:r>
                      <w:r w:rsidR="0031790D" w:rsidRPr="00F72697">
                        <w:t xml:space="preserve">has been identified as an area of improvement for NCT as a whole. </w:t>
                      </w:r>
                    </w:p>
                    <w:p w14:paraId="7AECDB15" w14:textId="555233D2" w:rsidR="00B1306A" w:rsidRPr="00F72697" w:rsidRDefault="0031790D" w:rsidP="000C2954">
                      <w:pPr>
                        <w:jc w:val="both"/>
                      </w:pPr>
                      <w:r w:rsidRPr="00F72697">
                        <w:t>Reviews have highlighted that some professionals who are supporting families have not been aware of case closures</w:t>
                      </w:r>
                      <w:r w:rsidR="004D79FA" w:rsidRPr="00F72697">
                        <w:t>/step</w:t>
                      </w:r>
                      <w:r w:rsidR="00CE6E37">
                        <w:t>-</w:t>
                      </w:r>
                      <w:r w:rsidR="004D79FA" w:rsidRPr="00F72697">
                        <w:t>down</w:t>
                      </w:r>
                      <w:r w:rsidRPr="00F72697">
                        <w:t xml:space="preserve"> or outcomes of assessments and</w:t>
                      </w:r>
                      <w:r w:rsidR="00CE6E37">
                        <w:t>,</w:t>
                      </w:r>
                      <w:r w:rsidRPr="00F72697">
                        <w:t xml:space="preserve"> if they had been aware of these, their decision</w:t>
                      </w:r>
                      <w:r w:rsidR="00CE6E37">
                        <w:t>-</w:t>
                      </w:r>
                      <w:r w:rsidRPr="00F72697">
                        <w:t>making may have been better</w:t>
                      </w:r>
                      <w:r w:rsidR="00CE6E37">
                        <w:t>-</w:t>
                      </w:r>
                      <w:r w:rsidRPr="00F72697">
                        <w:t xml:space="preserve">informed when they </w:t>
                      </w:r>
                      <w:r w:rsidR="00CE6E37">
                        <w:t xml:space="preserve">have needed </w:t>
                      </w:r>
                      <w:r w:rsidRPr="00F72697">
                        <w:t xml:space="preserve">to make key safeguarding decisions for a child, young person or family.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475E0D" w14:textId="3BEEA756" w:rsidR="001D75F9" w:rsidRDefault="001D75F9" w:rsidP="0019544F">
      <w:pPr>
        <w:spacing w:after="0"/>
        <w:jc w:val="center"/>
        <w:rPr>
          <w:b/>
          <w:sz w:val="32"/>
          <w:szCs w:val="32"/>
        </w:rPr>
      </w:pPr>
    </w:p>
    <w:p w14:paraId="05F6663E" w14:textId="4BF6F32C" w:rsidR="00977055" w:rsidRDefault="004830F4" w:rsidP="004830F4">
      <w:pPr>
        <w:tabs>
          <w:tab w:val="center" w:pos="4513"/>
          <w:tab w:val="left" w:pos="774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3475E0F" w14:textId="4825FF3B" w:rsidR="001D75F9" w:rsidRDefault="001D75F9" w:rsidP="001D75F9">
      <w:pPr>
        <w:jc w:val="center"/>
        <w:rPr>
          <w:b/>
          <w:sz w:val="28"/>
          <w:szCs w:val="28"/>
        </w:rPr>
      </w:pPr>
    </w:p>
    <w:p w14:paraId="13475E10" w14:textId="0BF56172" w:rsidR="001D75F9" w:rsidRDefault="001D75F9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1" w14:textId="1C5C3FB3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2" w14:textId="61C1D922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3" w14:textId="04F5C13E" w:rsidR="007B281C" w:rsidRDefault="00F72697" w:rsidP="001D75F9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75E3C" wp14:editId="471A8B0A">
                <wp:simplePos x="0" y="0"/>
                <wp:positionH relativeFrom="margin">
                  <wp:posOffset>-457200</wp:posOffset>
                </wp:positionH>
                <wp:positionV relativeFrom="paragraph">
                  <wp:posOffset>205740</wp:posOffset>
                </wp:positionV>
                <wp:extent cx="6633210" cy="2733675"/>
                <wp:effectExtent l="0" t="0" r="15240" b="2857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273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ECC32" w14:textId="2C3A3DF1" w:rsidR="003328CA" w:rsidRDefault="003328CA" w:rsidP="003328C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72697">
                              <w:rPr>
                                <w:b/>
                                <w:sz w:val="24"/>
                                <w:szCs w:val="24"/>
                              </w:rPr>
                              <w:t>Conversations</w:t>
                            </w:r>
                          </w:p>
                          <w:p w14:paraId="51672423" w14:textId="77777777" w:rsidR="00F72697" w:rsidRPr="00F72697" w:rsidRDefault="00F72697" w:rsidP="003328C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855470" w14:textId="77777777" w:rsidR="00F72697" w:rsidRPr="00F72697" w:rsidRDefault="003328CA" w:rsidP="0031790D">
                            <w:pPr>
                              <w:spacing w:after="0"/>
                              <w:jc w:val="both"/>
                              <w:rPr>
                                <w:bCs/>
                              </w:rPr>
                            </w:pPr>
                            <w:r w:rsidRPr="00F72697">
                              <w:rPr>
                                <w:bCs/>
                              </w:rPr>
                              <w:t>It</w:t>
                            </w:r>
                            <w:r w:rsidR="0031790D" w:rsidRPr="00F72697">
                              <w:rPr>
                                <w:bCs/>
                              </w:rPr>
                              <w:t>’</w:t>
                            </w:r>
                            <w:r w:rsidRPr="00F72697">
                              <w:rPr>
                                <w:bCs/>
                              </w:rPr>
                              <w:t xml:space="preserve">s </w:t>
                            </w:r>
                            <w:r w:rsidR="0031790D" w:rsidRPr="00F72697">
                              <w:rPr>
                                <w:bCs/>
                              </w:rPr>
                              <w:t>often difficult to ensure we speak with all professionals when we are considering closing a case</w:t>
                            </w:r>
                            <w:r w:rsidR="004D79FA" w:rsidRPr="00F72697">
                              <w:rPr>
                                <w:bCs/>
                              </w:rPr>
                              <w:t>,</w:t>
                            </w:r>
                            <w:r w:rsidR="0031790D" w:rsidRPr="00F72697">
                              <w:rPr>
                                <w:bCs/>
                              </w:rPr>
                              <w:t xml:space="preserve"> but good practice would be for us to consult with other professionals and families as part of our </w:t>
                            </w:r>
                            <w:r w:rsidR="00BA1407" w:rsidRPr="00F72697">
                              <w:rPr>
                                <w:bCs/>
                              </w:rPr>
                              <w:t>decision-making</w:t>
                            </w:r>
                            <w:r w:rsidR="0031790D" w:rsidRPr="00F72697">
                              <w:rPr>
                                <w:bCs/>
                              </w:rPr>
                              <w:t xml:space="preserve"> process. Gathering information and consulting with others around the progress a family has made is important and should inform our risk discussions and case planning. </w:t>
                            </w:r>
                          </w:p>
                          <w:p w14:paraId="43EADDEF" w14:textId="77777777" w:rsidR="00F72697" w:rsidRPr="00F72697" w:rsidRDefault="00F72697" w:rsidP="0031790D">
                            <w:pPr>
                              <w:spacing w:after="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6FCBFF10" w14:textId="35D7CC54" w:rsidR="00F72697" w:rsidRPr="00F72697" w:rsidRDefault="0031790D" w:rsidP="0031790D">
                            <w:pPr>
                              <w:spacing w:after="0"/>
                              <w:jc w:val="both"/>
                              <w:rPr>
                                <w:bCs/>
                              </w:rPr>
                            </w:pPr>
                            <w:r w:rsidRPr="00F72697">
                              <w:rPr>
                                <w:bCs/>
                              </w:rPr>
                              <w:t xml:space="preserve">Meetings like Child in Need and Core Groups </w:t>
                            </w:r>
                            <w:r w:rsidR="00CE6E37">
                              <w:rPr>
                                <w:bCs/>
                              </w:rPr>
                              <w:t>are</w:t>
                            </w:r>
                            <w:r w:rsidRPr="00F72697">
                              <w:rPr>
                                <w:bCs/>
                              </w:rPr>
                              <w:t xml:space="preserve"> good places to have these discussions,</w:t>
                            </w:r>
                            <w:r w:rsidR="00CE6E37">
                              <w:rPr>
                                <w:bCs/>
                              </w:rPr>
                              <w:t xml:space="preserve"> where</w:t>
                            </w:r>
                            <w:r w:rsidRPr="00F72697">
                              <w:rPr>
                                <w:bCs/>
                              </w:rPr>
                              <w:t xml:space="preserve"> everyone can be involved</w:t>
                            </w:r>
                            <w:r w:rsidR="00CE6E37">
                              <w:rPr>
                                <w:bCs/>
                              </w:rPr>
                              <w:t>,</w:t>
                            </w:r>
                            <w:r w:rsidRPr="00F72697">
                              <w:rPr>
                                <w:bCs/>
                              </w:rPr>
                              <w:t xml:space="preserve"> and it is important for us to share our plans and</w:t>
                            </w:r>
                            <w:r w:rsidR="00CE6E37">
                              <w:rPr>
                                <w:bCs/>
                              </w:rPr>
                              <w:t xml:space="preserve"> to</w:t>
                            </w:r>
                            <w:r w:rsidRPr="00F72697">
                              <w:rPr>
                                <w:bCs/>
                              </w:rPr>
                              <w:t xml:space="preserve"> seek opinions</w:t>
                            </w:r>
                            <w:r w:rsidR="00CE6E37">
                              <w:rPr>
                                <w:bCs/>
                              </w:rPr>
                              <w:t xml:space="preserve"> from others</w:t>
                            </w:r>
                            <w:r w:rsidRPr="00F72697">
                              <w:rPr>
                                <w:bCs/>
                              </w:rPr>
                              <w:t xml:space="preserve">.  </w:t>
                            </w:r>
                          </w:p>
                          <w:p w14:paraId="5BE45406" w14:textId="77777777" w:rsidR="00F72697" w:rsidRPr="00F72697" w:rsidRDefault="00F72697" w:rsidP="0031790D">
                            <w:pPr>
                              <w:spacing w:after="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2FBDB985" w14:textId="39DEBAB6" w:rsidR="00F72697" w:rsidRPr="00F72697" w:rsidRDefault="00F72697" w:rsidP="0031790D">
                            <w:pPr>
                              <w:spacing w:after="0"/>
                              <w:jc w:val="both"/>
                              <w:rPr>
                                <w:bCs/>
                                <w:color w:val="FF0000"/>
                              </w:rPr>
                            </w:pPr>
                            <w:r w:rsidRPr="00F72697">
                              <w:rPr>
                                <w:bCs/>
                              </w:rPr>
                              <w:t xml:space="preserve">If we are closing a case directly after an assessment, then good practice would still be that we complete a closure summary and complete a safety plan </w:t>
                            </w:r>
                            <w:r w:rsidRPr="00CE6E37">
                              <w:rPr>
                                <w:b/>
                                <w:u w:val="single"/>
                              </w:rPr>
                              <w:t>with</w:t>
                            </w:r>
                            <w:r w:rsidRPr="00F72697">
                              <w:rPr>
                                <w:bCs/>
                              </w:rPr>
                              <w:t xml:space="preserve"> the family.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75E3C" id="AutoShape 10" o:spid="_x0000_s1027" style="position:absolute;left:0;text-align:left;margin-left:-36pt;margin-top:16.2pt;width:522.3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" fillcolor="white [3201]" strokecolor="#76923c [2406]" strokeweight="2pt">
                <v:textbox>
                  <w:txbxContent>
                    <w:p w14:paraId="6B2ECC32" w14:textId="2C3A3DF1" w:rsidR="003328CA" w:rsidRDefault="003328CA" w:rsidP="003328C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72697">
                        <w:rPr>
                          <w:b/>
                          <w:sz w:val="24"/>
                          <w:szCs w:val="24"/>
                        </w:rPr>
                        <w:t>Conversations</w:t>
                      </w:r>
                    </w:p>
                    <w:p w14:paraId="51672423" w14:textId="77777777" w:rsidR="00F72697" w:rsidRPr="00F72697" w:rsidRDefault="00F72697" w:rsidP="003328C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0855470" w14:textId="77777777" w:rsidR="00F72697" w:rsidRPr="00F72697" w:rsidRDefault="003328CA" w:rsidP="0031790D">
                      <w:pPr>
                        <w:spacing w:after="0"/>
                        <w:jc w:val="both"/>
                        <w:rPr>
                          <w:bCs/>
                        </w:rPr>
                      </w:pPr>
                      <w:r w:rsidRPr="00F72697">
                        <w:rPr>
                          <w:bCs/>
                        </w:rPr>
                        <w:t>It</w:t>
                      </w:r>
                      <w:r w:rsidR="0031790D" w:rsidRPr="00F72697">
                        <w:rPr>
                          <w:bCs/>
                        </w:rPr>
                        <w:t>’</w:t>
                      </w:r>
                      <w:r w:rsidRPr="00F72697">
                        <w:rPr>
                          <w:bCs/>
                        </w:rPr>
                        <w:t xml:space="preserve">s </w:t>
                      </w:r>
                      <w:r w:rsidR="0031790D" w:rsidRPr="00F72697">
                        <w:rPr>
                          <w:bCs/>
                        </w:rPr>
                        <w:t>often difficult to ensure we speak with all professionals when we are considering closing a case</w:t>
                      </w:r>
                      <w:r w:rsidR="004D79FA" w:rsidRPr="00F72697">
                        <w:rPr>
                          <w:bCs/>
                        </w:rPr>
                        <w:t>,</w:t>
                      </w:r>
                      <w:r w:rsidR="0031790D" w:rsidRPr="00F72697">
                        <w:rPr>
                          <w:bCs/>
                        </w:rPr>
                        <w:t xml:space="preserve"> but good practice would be for us to consult with other professionals and families as part of our </w:t>
                      </w:r>
                      <w:r w:rsidR="00BA1407" w:rsidRPr="00F72697">
                        <w:rPr>
                          <w:bCs/>
                        </w:rPr>
                        <w:t>decision-making</w:t>
                      </w:r>
                      <w:r w:rsidR="0031790D" w:rsidRPr="00F72697">
                        <w:rPr>
                          <w:bCs/>
                        </w:rPr>
                        <w:t xml:space="preserve"> process. Gathering information and consulting with others around the progress a family has made is important and should inform our risk discussions and case planning. </w:t>
                      </w:r>
                    </w:p>
                    <w:p w14:paraId="43EADDEF" w14:textId="77777777" w:rsidR="00F72697" w:rsidRPr="00F72697" w:rsidRDefault="00F72697" w:rsidP="0031790D">
                      <w:pPr>
                        <w:spacing w:after="0"/>
                        <w:jc w:val="both"/>
                        <w:rPr>
                          <w:bCs/>
                        </w:rPr>
                      </w:pPr>
                    </w:p>
                    <w:p w14:paraId="6FCBFF10" w14:textId="35D7CC54" w:rsidR="00F72697" w:rsidRPr="00F72697" w:rsidRDefault="0031790D" w:rsidP="0031790D">
                      <w:pPr>
                        <w:spacing w:after="0"/>
                        <w:jc w:val="both"/>
                        <w:rPr>
                          <w:bCs/>
                        </w:rPr>
                      </w:pPr>
                      <w:r w:rsidRPr="00F72697">
                        <w:rPr>
                          <w:bCs/>
                        </w:rPr>
                        <w:t xml:space="preserve">Meetings like Child in Need and Core Groups </w:t>
                      </w:r>
                      <w:r w:rsidR="00CE6E37">
                        <w:rPr>
                          <w:bCs/>
                        </w:rPr>
                        <w:t>are</w:t>
                      </w:r>
                      <w:r w:rsidRPr="00F72697">
                        <w:rPr>
                          <w:bCs/>
                        </w:rPr>
                        <w:t xml:space="preserve"> good places to have these discussions,</w:t>
                      </w:r>
                      <w:r w:rsidR="00CE6E37">
                        <w:rPr>
                          <w:bCs/>
                        </w:rPr>
                        <w:t xml:space="preserve"> where</w:t>
                      </w:r>
                      <w:r w:rsidRPr="00F72697">
                        <w:rPr>
                          <w:bCs/>
                        </w:rPr>
                        <w:t xml:space="preserve"> everyone can be involved</w:t>
                      </w:r>
                      <w:r w:rsidR="00CE6E37">
                        <w:rPr>
                          <w:bCs/>
                        </w:rPr>
                        <w:t>,</w:t>
                      </w:r>
                      <w:r w:rsidRPr="00F72697">
                        <w:rPr>
                          <w:bCs/>
                        </w:rPr>
                        <w:t xml:space="preserve"> and it is important for us to share our plans and</w:t>
                      </w:r>
                      <w:r w:rsidR="00CE6E37">
                        <w:rPr>
                          <w:bCs/>
                        </w:rPr>
                        <w:t xml:space="preserve"> to</w:t>
                      </w:r>
                      <w:r w:rsidRPr="00F72697">
                        <w:rPr>
                          <w:bCs/>
                        </w:rPr>
                        <w:t xml:space="preserve"> seek opinions</w:t>
                      </w:r>
                      <w:r w:rsidR="00CE6E37">
                        <w:rPr>
                          <w:bCs/>
                        </w:rPr>
                        <w:t xml:space="preserve"> from others</w:t>
                      </w:r>
                      <w:r w:rsidRPr="00F72697">
                        <w:rPr>
                          <w:bCs/>
                        </w:rPr>
                        <w:t xml:space="preserve">.  </w:t>
                      </w:r>
                    </w:p>
                    <w:p w14:paraId="5BE45406" w14:textId="77777777" w:rsidR="00F72697" w:rsidRPr="00F72697" w:rsidRDefault="00F72697" w:rsidP="0031790D">
                      <w:pPr>
                        <w:spacing w:after="0"/>
                        <w:jc w:val="both"/>
                        <w:rPr>
                          <w:bCs/>
                        </w:rPr>
                      </w:pPr>
                    </w:p>
                    <w:p w14:paraId="2FBDB985" w14:textId="39DEBAB6" w:rsidR="00F72697" w:rsidRPr="00F72697" w:rsidRDefault="00F72697" w:rsidP="0031790D">
                      <w:pPr>
                        <w:spacing w:after="0"/>
                        <w:jc w:val="both"/>
                        <w:rPr>
                          <w:bCs/>
                          <w:color w:val="FF0000"/>
                        </w:rPr>
                      </w:pPr>
                      <w:r w:rsidRPr="00F72697">
                        <w:rPr>
                          <w:bCs/>
                        </w:rPr>
                        <w:t xml:space="preserve">If we are closing a case directly after an assessment, then good practice would still be that we complete a closure summary and complete a safety plan </w:t>
                      </w:r>
                      <w:r w:rsidRPr="00CE6E37">
                        <w:rPr>
                          <w:b/>
                          <w:u w:val="single"/>
                        </w:rPr>
                        <w:t>with</w:t>
                      </w:r>
                      <w:r w:rsidRPr="00F72697">
                        <w:rPr>
                          <w:bCs/>
                        </w:rPr>
                        <w:t xml:space="preserve"> the family.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475E14" w14:textId="7614545F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5" w14:textId="279ED566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6" w14:textId="1A3877E2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7" w14:textId="42D6D848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8" w14:textId="2D095912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9" w14:textId="7877664A" w:rsidR="007B281C" w:rsidRDefault="00BA1407" w:rsidP="001D75F9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ab/>
      </w:r>
    </w:p>
    <w:p w14:paraId="6CB20AB6" w14:textId="30AC8915" w:rsidR="00BA1407" w:rsidRDefault="00BA1407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310E31C3" w14:textId="5AAAC44E" w:rsidR="00BA1407" w:rsidRDefault="00F72697" w:rsidP="001D75F9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475E3D" wp14:editId="19FC51F7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625590" cy="2095500"/>
                <wp:effectExtent l="0" t="0" r="22860" b="1905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5590" cy="2095500"/>
                        </a:xfrm>
                        <a:prstGeom prst="roundRect">
                          <a:avLst>
                            <a:gd name="adj" fmla="val 24235"/>
                          </a:avLst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2C7D" w14:textId="7FE13E47" w:rsidR="003328CA" w:rsidRPr="00F72697" w:rsidRDefault="0031790D" w:rsidP="003328C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7269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legislation and our internal </w:t>
                            </w:r>
                            <w:r w:rsidR="004D79FA" w:rsidRPr="00F72697">
                              <w:rPr>
                                <w:b/>
                                <w:sz w:val="24"/>
                                <w:szCs w:val="24"/>
                              </w:rPr>
                              <w:t>procedure</w:t>
                            </w:r>
                          </w:p>
                          <w:p w14:paraId="7F1F29EB" w14:textId="77777777" w:rsidR="00F72697" w:rsidRDefault="00F72697" w:rsidP="003328C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D1A2E2A" w14:textId="2A42E6AC" w:rsidR="00BF3872" w:rsidRPr="00F72697" w:rsidRDefault="00A42F45" w:rsidP="00A42F45">
                            <w:pPr>
                              <w:spacing w:after="0"/>
                              <w:jc w:val="both"/>
                            </w:pPr>
                            <w:r w:rsidRPr="00F72697">
                              <w:t xml:space="preserve">In Working Together 2023 it states that ‘No single practitioner can have a full picture of a child’s needs and circumstances so effective sharing of information between practitioners, local organisations and agencies is essential for early identification of need, assessment, and service provision to keep children safe.’ </w:t>
                            </w:r>
                            <w:hyperlink r:id="rId12" w:history="1">
                              <w:r w:rsidRPr="00F72697">
                                <w:rPr>
                                  <w:rStyle w:val="Hyperlink"/>
                                </w:rPr>
                                <w:t>Working together to safeguard children 2023: statutory guidance (publishing.service.gov.uk)</w:t>
                              </w:r>
                            </w:hyperlink>
                          </w:p>
                          <w:p w14:paraId="63981D03" w14:textId="3600C97C" w:rsidR="00A42F45" w:rsidRPr="00F72697" w:rsidRDefault="004D79FA" w:rsidP="00A42F45">
                            <w:pPr>
                              <w:spacing w:after="0"/>
                              <w:jc w:val="both"/>
                            </w:pPr>
                            <w:r w:rsidRPr="00F72697">
                              <w:t xml:space="preserve">Our internal case transfer and closure procedure can be found here - </w:t>
                            </w:r>
                          </w:p>
                          <w:p w14:paraId="76D178BD" w14:textId="37F11FC4" w:rsidR="004D79FA" w:rsidRPr="00F72697" w:rsidRDefault="00EB53A0" w:rsidP="00A42F45">
                            <w:pPr>
                              <w:spacing w:after="0"/>
                              <w:jc w:val="both"/>
                              <w:rPr>
                                <w:bCs/>
                              </w:rPr>
                            </w:pPr>
                            <w:hyperlink r:id="rId13" w:history="1">
                              <w:r w:rsidR="004D79FA" w:rsidRPr="00F72697">
                                <w:rPr>
                                  <w:rStyle w:val="Hyperlink"/>
                                </w:rPr>
                                <w:t>1.3.4 Allocation of Work and Transfer between Teams - Case Transfer and Closure (proceduresonline.com)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75E3D" id="AutoShape 11" o:spid="_x0000_s1028" style="position:absolute;left:0;text-align:left;margin-left:0;margin-top:14.4pt;width:521.7pt;height:165pt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" fillcolor="white [3201]" strokecolor="#76923c [2406]" strokeweight="2pt">
                <v:textbox>
                  <w:txbxContent>
                    <w:p w14:paraId="73B62C7D" w14:textId="7FE13E47" w:rsidR="003328CA" w:rsidRPr="00F72697" w:rsidRDefault="0031790D" w:rsidP="003328C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72697">
                        <w:rPr>
                          <w:b/>
                          <w:sz w:val="24"/>
                          <w:szCs w:val="24"/>
                        </w:rPr>
                        <w:t xml:space="preserve">What legislation and our internal </w:t>
                      </w:r>
                      <w:r w:rsidR="004D79FA" w:rsidRPr="00F72697">
                        <w:rPr>
                          <w:b/>
                          <w:sz w:val="24"/>
                          <w:szCs w:val="24"/>
                        </w:rPr>
                        <w:t>procedure</w:t>
                      </w:r>
                    </w:p>
                    <w:p w14:paraId="7F1F29EB" w14:textId="77777777" w:rsidR="00F72697" w:rsidRDefault="00F72697" w:rsidP="003328CA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7D1A2E2A" w14:textId="2A42E6AC" w:rsidR="00BF3872" w:rsidRPr="00F72697" w:rsidRDefault="00A42F45" w:rsidP="00A42F45">
                      <w:pPr>
                        <w:spacing w:after="0"/>
                        <w:jc w:val="both"/>
                      </w:pPr>
                      <w:r w:rsidRPr="00F72697">
                        <w:t xml:space="preserve">In Working Together 2023 it states that ‘No single practitioner can have a full picture of a child’s needs and circumstances so effective sharing of information between practitioners, local organisations and agencies is essential for early identification of need, assessment, and service provision to keep children safe.’ </w:t>
                      </w:r>
                      <w:hyperlink r:id="rId14" w:history="1">
                        <w:r w:rsidRPr="00F72697">
                          <w:rPr>
                            <w:rStyle w:val="Hyperlink"/>
                          </w:rPr>
                          <w:t>Working together to safeguard children 2023: statutory guidance (publishing.service.gov.uk)</w:t>
                        </w:r>
                      </w:hyperlink>
                    </w:p>
                    <w:p w14:paraId="63981D03" w14:textId="3600C97C" w:rsidR="00A42F45" w:rsidRPr="00F72697" w:rsidRDefault="004D79FA" w:rsidP="00A42F45">
                      <w:pPr>
                        <w:spacing w:after="0"/>
                        <w:jc w:val="both"/>
                      </w:pPr>
                      <w:r w:rsidRPr="00F72697">
                        <w:t xml:space="preserve">Our internal case transfer and closure procedure can be found here - </w:t>
                      </w:r>
                    </w:p>
                    <w:p w14:paraId="76D178BD" w14:textId="37F11FC4" w:rsidR="004D79FA" w:rsidRPr="00F72697" w:rsidRDefault="00EB53A0" w:rsidP="00A42F45">
                      <w:pPr>
                        <w:spacing w:after="0"/>
                        <w:jc w:val="both"/>
                        <w:rPr>
                          <w:bCs/>
                        </w:rPr>
                      </w:pPr>
                      <w:hyperlink r:id="rId15" w:history="1">
                        <w:r w:rsidR="004D79FA" w:rsidRPr="00F72697">
                          <w:rPr>
                            <w:rStyle w:val="Hyperlink"/>
                          </w:rPr>
                          <w:t>1.3.4 Allocation of Work and Transfer between Teams - Case Transfer and Closure (proceduresonline.com)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846C1B" w14:textId="1F19046A" w:rsidR="00BA1407" w:rsidRDefault="00BA1407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DCB2B08" w14:textId="163E8130" w:rsidR="00BA1407" w:rsidRDefault="00BA1407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76EED983" w14:textId="441B76F1" w:rsidR="00BA1407" w:rsidRDefault="00BA1407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6CAEDB3B" w14:textId="0B1D64EB" w:rsidR="00BA1407" w:rsidRDefault="00BA1407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01B52FDE" w14:textId="1EF9F65F" w:rsidR="00BA1407" w:rsidRDefault="00BA1407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766D601F" w14:textId="0EDCEF2F" w:rsidR="00BA1407" w:rsidRDefault="00F72697" w:rsidP="00F72697">
      <w:pPr>
        <w:jc w:val="right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 Cont….</w:t>
      </w:r>
    </w:p>
    <w:p w14:paraId="6700236E" w14:textId="1DBC52F1" w:rsidR="00BA1407" w:rsidRDefault="00F72697" w:rsidP="001D75F9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475E3F" wp14:editId="7DAF7207">
                <wp:simplePos x="0" y="0"/>
                <wp:positionH relativeFrom="margin">
                  <wp:align>center</wp:align>
                </wp:positionH>
                <wp:positionV relativeFrom="paragraph">
                  <wp:posOffset>421005</wp:posOffset>
                </wp:positionV>
                <wp:extent cx="6715125" cy="8029575"/>
                <wp:effectExtent l="0" t="0" r="28575" b="2857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8029575"/>
                        </a:xfrm>
                        <a:prstGeom prst="roundRect">
                          <a:avLst>
                            <a:gd name="adj" fmla="val 13004"/>
                          </a:avLst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B13E0" w14:textId="0412071C" w:rsidR="00BA1407" w:rsidRPr="00F72697" w:rsidRDefault="0031790D" w:rsidP="00BA1407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72697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Always remember…</w:t>
                            </w:r>
                          </w:p>
                          <w:p w14:paraId="5A5C44C0" w14:textId="3BBACC39" w:rsidR="0031790D" w:rsidRPr="00F72697" w:rsidRDefault="0031790D" w:rsidP="00BA1407">
                            <w:pPr>
                              <w:rPr>
                                <w:iCs/>
                              </w:rPr>
                            </w:pPr>
                            <w:r w:rsidRPr="00F72697">
                              <w:rPr>
                                <w:iCs/>
                              </w:rPr>
                              <w:t>Share reports where and when appropriate</w:t>
                            </w:r>
                            <w:r w:rsidR="00CE6E37">
                              <w:rPr>
                                <w:iCs/>
                              </w:rPr>
                              <w:t>;</w:t>
                            </w:r>
                            <w:r w:rsidRPr="00F72697">
                              <w:rPr>
                                <w:iCs/>
                              </w:rPr>
                              <w:t xml:space="preserve"> when closing a case or completing a report, good practice would be to share this with the other professionals who have contributed to our assessments. It</w:t>
                            </w:r>
                            <w:r w:rsidR="00A42F45" w:rsidRPr="00F72697">
                              <w:rPr>
                                <w:iCs/>
                              </w:rPr>
                              <w:t>’s</w:t>
                            </w:r>
                            <w:r w:rsidRPr="00F72697">
                              <w:rPr>
                                <w:iCs/>
                              </w:rPr>
                              <w:t xml:space="preserve"> </w:t>
                            </w:r>
                            <w:r w:rsidR="004D79FA" w:rsidRPr="00F72697">
                              <w:rPr>
                                <w:iCs/>
                              </w:rPr>
                              <w:t xml:space="preserve">important </w:t>
                            </w:r>
                            <w:r w:rsidRPr="00F72697">
                              <w:rPr>
                                <w:iCs/>
                              </w:rPr>
                              <w:t>to gain parents</w:t>
                            </w:r>
                            <w:r w:rsidR="00CE6E37">
                              <w:rPr>
                                <w:iCs/>
                              </w:rPr>
                              <w:t xml:space="preserve">’ </w:t>
                            </w:r>
                            <w:r w:rsidRPr="00F72697">
                              <w:rPr>
                                <w:iCs/>
                              </w:rPr>
                              <w:t>/</w:t>
                            </w:r>
                            <w:r w:rsidR="00CE6E37">
                              <w:rPr>
                                <w:iCs/>
                              </w:rPr>
                              <w:t xml:space="preserve"> </w:t>
                            </w:r>
                            <w:r w:rsidRPr="00F72697">
                              <w:rPr>
                                <w:iCs/>
                              </w:rPr>
                              <w:t>carers</w:t>
                            </w:r>
                            <w:r w:rsidR="00CE6E37">
                              <w:rPr>
                                <w:iCs/>
                              </w:rPr>
                              <w:t>’</w:t>
                            </w:r>
                            <w:r w:rsidRPr="00F72697">
                              <w:rPr>
                                <w:iCs/>
                              </w:rPr>
                              <w:t xml:space="preserve"> consent</w:t>
                            </w:r>
                            <w:r w:rsidR="00CE6E37">
                              <w:rPr>
                                <w:iCs/>
                              </w:rPr>
                              <w:t>s</w:t>
                            </w:r>
                            <w:r w:rsidRPr="00F72697">
                              <w:rPr>
                                <w:iCs/>
                              </w:rPr>
                              <w:t xml:space="preserve"> to share report</w:t>
                            </w:r>
                            <w:r w:rsidR="00CE6E37">
                              <w:rPr>
                                <w:iCs/>
                              </w:rPr>
                              <w:t>s,</w:t>
                            </w:r>
                            <w:r w:rsidRPr="00F72697">
                              <w:rPr>
                                <w:iCs/>
                              </w:rPr>
                              <w:t xml:space="preserve"> but it</w:t>
                            </w:r>
                            <w:r w:rsidR="009654A6" w:rsidRPr="00F72697">
                              <w:rPr>
                                <w:iCs/>
                              </w:rPr>
                              <w:t>’</w:t>
                            </w:r>
                            <w:r w:rsidRPr="00F72697">
                              <w:rPr>
                                <w:iCs/>
                              </w:rPr>
                              <w:t>s important that other professionals are aware of risks, concerns</w:t>
                            </w:r>
                            <w:r w:rsidR="00CE6E37">
                              <w:rPr>
                                <w:iCs/>
                              </w:rPr>
                              <w:t>,</w:t>
                            </w:r>
                            <w:r w:rsidRPr="00F72697">
                              <w:rPr>
                                <w:iCs/>
                              </w:rPr>
                              <w:t xml:space="preserve"> or signs to look out for. </w:t>
                            </w:r>
                          </w:p>
                          <w:p w14:paraId="145FA0DB" w14:textId="67DBA62E" w:rsidR="00F72697" w:rsidRPr="00F72697" w:rsidRDefault="00F72697" w:rsidP="00BA1407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F72697">
                              <w:rPr>
                                <w:iCs/>
                              </w:rPr>
                              <w:t>Management Oversight – good practice is that we have clear manager oversight when we are closing a case</w:t>
                            </w:r>
                            <w:r w:rsidR="00CE6E37">
                              <w:rPr>
                                <w:iCs/>
                              </w:rPr>
                              <w:t>;</w:t>
                            </w:r>
                            <w:r w:rsidRPr="00F72697">
                              <w:rPr>
                                <w:iCs/>
                              </w:rPr>
                              <w:t xml:space="preserve"> this should clearly evidence our reasons for closing the case and what informed our decision. We should also clearly set out if there are any responsibilities for other professionals. </w:t>
                            </w:r>
                          </w:p>
                          <w:p w14:paraId="60863E80" w14:textId="6EB14912" w:rsidR="0031790D" w:rsidRPr="00F72697" w:rsidRDefault="0031790D" w:rsidP="004D79FA">
                            <w:pPr>
                              <w:jc w:val="both"/>
                              <w:rPr>
                                <w:iCs/>
                              </w:rPr>
                            </w:pPr>
                            <w:r w:rsidRPr="00F72697">
                              <w:rPr>
                                <w:iCs/>
                              </w:rPr>
                              <w:t xml:space="preserve">Sending </w:t>
                            </w:r>
                            <w:r w:rsidR="004D79FA" w:rsidRPr="00F72697">
                              <w:rPr>
                                <w:iCs/>
                              </w:rPr>
                              <w:t>letters</w:t>
                            </w:r>
                            <w:r w:rsidRPr="00F72697">
                              <w:rPr>
                                <w:iCs/>
                              </w:rPr>
                              <w:t xml:space="preserve"> or e</w:t>
                            </w:r>
                            <w:r w:rsidR="00CE6E37">
                              <w:rPr>
                                <w:iCs/>
                              </w:rPr>
                              <w:t>-</w:t>
                            </w:r>
                            <w:r w:rsidRPr="00F72697">
                              <w:rPr>
                                <w:iCs/>
                              </w:rPr>
                              <w:t>mails</w:t>
                            </w:r>
                            <w:r w:rsidR="00CE6E37">
                              <w:rPr>
                                <w:iCs/>
                              </w:rPr>
                              <w:t>;</w:t>
                            </w:r>
                            <w:r w:rsidRPr="00F72697">
                              <w:rPr>
                                <w:iCs/>
                              </w:rPr>
                              <w:t xml:space="preserve"> we may have had discussion</w:t>
                            </w:r>
                            <w:r w:rsidR="00CE6E37">
                              <w:rPr>
                                <w:iCs/>
                              </w:rPr>
                              <w:t>s</w:t>
                            </w:r>
                            <w:r w:rsidRPr="00F72697">
                              <w:rPr>
                                <w:iCs/>
                              </w:rPr>
                              <w:t xml:space="preserve"> in meetings</w:t>
                            </w:r>
                            <w:r w:rsidR="00CE6E37">
                              <w:rPr>
                                <w:iCs/>
                              </w:rPr>
                              <w:t>,</w:t>
                            </w:r>
                            <w:r w:rsidRPr="00F72697">
                              <w:rPr>
                                <w:iCs/>
                              </w:rPr>
                              <w:t xml:space="preserve"> or </w:t>
                            </w:r>
                            <w:r w:rsidR="004D79FA" w:rsidRPr="00F72697">
                              <w:rPr>
                                <w:iCs/>
                              </w:rPr>
                              <w:t xml:space="preserve">individually </w:t>
                            </w:r>
                            <w:r w:rsidRPr="00F72697">
                              <w:rPr>
                                <w:iCs/>
                              </w:rPr>
                              <w:t>with professionals</w:t>
                            </w:r>
                            <w:r w:rsidR="00CE6E37">
                              <w:rPr>
                                <w:iCs/>
                              </w:rPr>
                              <w:t>,</w:t>
                            </w:r>
                            <w:r w:rsidRPr="00F72697">
                              <w:rPr>
                                <w:iCs/>
                              </w:rPr>
                              <w:t xml:space="preserve"> about our intentions to close or step</w:t>
                            </w:r>
                            <w:r w:rsidR="00CE6E37">
                              <w:rPr>
                                <w:iCs/>
                              </w:rPr>
                              <w:t>-down</w:t>
                            </w:r>
                            <w:r w:rsidRPr="00F72697">
                              <w:rPr>
                                <w:iCs/>
                              </w:rPr>
                              <w:t xml:space="preserve"> a case to other services</w:t>
                            </w:r>
                            <w:r w:rsidR="004D79FA" w:rsidRPr="00F72697">
                              <w:rPr>
                                <w:iCs/>
                              </w:rPr>
                              <w:t>. G</w:t>
                            </w:r>
                            <w:r w:rsidRPr="00F72697">
                              <w:rPr>
                                <w:iCs/>
                              </w:rPr>
                              <w:t>ood practice is to follow up these conversations with written information. A closure letter or e</w:t>
                            </w:r>
                            <w:r w:rsidR="002C6AEE">
                              <w:rPr>
                                <w:iCs/>
                              </w:rPr>
                              <w:t>-</w:t>
                            </w:r>
                            <w:r w:rsidRPr="00F72697">
                              <w:rPr>
                                <w:iCs/>
                              </w:rPr>
                              <w:t xml:space="preserve">mail to professionals is important so this is then held on their files as a record of the case decision and any actions. </w:t>
                            </w:r>
                            <w:r w:rsidR="005F7CC8" w:rsidRPr="00F72697">
                              <w:rPr>
                                <w:iCs/>
                              </w:rPr>
                              <w:t>Remember to also store this in our records so we can evidence communications with others.</w:t>
                            </w:r>
                          </w:p>
                          <w:p w14:paraId="0A6C19FA" w14:textId="0B9DD1EA" w:rsidR="004D79FA" w:rsidRDefault="00A97F66" w:rsidP="004D79FA">
                            <w:pPr>
                              <w:jc w:val="both"/>
                              <w:rPr>
                                <w:iCs/>
                              </w:rPr>
                            </w:pPr>
                            <w:r w:rsidRPr="00F72697">
                              <w:t>Good clear closures summaries or step-down</w:t>
                            </w:r>
                            <w:r w:rsidR="002C6AEE">
                              <w:t xml:space="preserve"> </w:t>
                            </w:r>
                            <w:r w:rsidRPr="00F72697">
                              <w:t>/</w:t>
                            </w:r>
                            <w:r w:rsidR="002C6AEE">
                              <w:t xml:space="preserve"> </w:t>
                            </w:r>
                            <w:r w:rsidRPr="00F72697">
                              <w:t>safety plans</w:t>
                            </w:r>
                            <w:r w:rsidR="002C6AEE">
                              <w:t>;</w:t>
                            </w:r>
                            <w:r w:rsidR="0031790D" w:rsidRPr="00F72697">
                              <w:rPr>
                                <w:iCs/>
                              </w:rPr>
                              <w:t xml:space="preserve"> </w:t>
                            </w:r>
                            <w:r w:rsidR="00A42F45" w:rsidRPr="00F72697">
                              <w:rPr>
                                <w:iCs/>
                              </w:rPr>
                              <w:t>often</w:t>
                            </w:r>
                            <w:r w:rsidR="002C6AEE">
                              <w:rPr>
                                <w:iCs/>
                              </w:rPr>
                              <w:t>,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 when we close a </w:t>
                            </w:r>
                            <w:r w:rsidR="004D79FA" w:rsidRPr="00F72697">
                              <w:rPr>
                                <w:iCs/>
                              </w:rPr>
                              <w:t>case,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 we identify on</w:t>
                            </w:r>
                            <w:r w:rsidR="002C6AEE">
                              <w:rPr>
                                <w:iCs/>
                              </w:rPr>
                              <w:t>-</w:t>
                            </w:r>
                            <w:r w:rsidR="00A42F45" w:rsidRPr="00F72697">
                              <w:rPr>
                                <w:iCs/>
                              </w:rPr>
                              <w:t>going work or responsibilities for other professionals</w:t>
                            </w:r>
                            <w:r w:rsidR="002C6AEE">
                              <w:rPr>
                                <w:iCs/>
                              </w:rPr>
                              <w:t xml:space="preserve"> -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 these would have been pre</w:t>
                            </w:r>
                            <w:r w:rsidR="002C6AEE">
                              <w:rPr>
                                <w:iCs/>
                              </w:rPr>
                              <w:t>-</w:t>
                            </w:r>
                            <w:r w:rsidR="00A42F45" w:rsidRPr="00F72697">
                              <w:rPr>
                                <w:iCs/>
                              </w:rPr>
                              <w:t>agreed with</w:t>
                            </w:r>
                            <w:r w:rsidR="002C6AEE">
                              <w:rPr>
                                <w:iCs/>
                              </w:rPr>
                              <w:t xml:space="preserve"> relevant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 professionals and the family but it</w:t>
                            </w:r>
                            <w:r w:rsidR="009654A6" w:rsidRPr="00F72697">
                              <w:rPr>
                                <w:iCs/>
                              </w:rPr>
                              <w:t>’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s important that we </w:t>
                            </w:r>
                            <w:r w:rsidR="009654A6" w:rsidRPr="00F72697">
                              <w:rPr>
                                <w:iCs/>
                              </w:rPr>
                              <w:t>clearly record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 any actions for others and share this information with them. If</w:t>
                            </w:r>
                            <w:r w:rsidR="002C6AEE">
                              <w:rPr>
                                <w:iCs/>
                              </w:rPr>
                              <w:t>, when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 closing a </w:t>
                            </w:r>
                            <w:r w:rsidR="004D79FA" w:rsidRPr="00F72697">
                              <w:rPr>
                                <w:iCs/>
                              </w:rPr>
                              <w:t>case</w:t>
                            </w:r>
                            <w:r w:rsidR="009654A6" w:rsidRPr="00F72697">
                              <w:rPr>
                                <w:iCs/>
                              </w:rPr>
                              <w:t xml:space="preserve"> or stepping down</w:t>
                            </w:r>
                            <w:r w:rsidR="004D79FA" w:rsidRPr="00F72697">
                              <w:rPr>
                                <w:iCs/>
                              </w:rPr>
                              <w:t>,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 case closures </w:t>
                            </w:r>
                            <w:r w:rsidR="002C6AEE">
                              <w:rPr>
                                <w:iCs/>
                              </w:rPr>
                              <w:t>are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 shared with others</w:t>
                            </w:r>
                            <w:r w:rsidR="002C6AEE">
                              <w:rPr>
                                <w:iCs/>
                              </w:rPr>
                              <w:t xml:space="preserve">, this is 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documentation of what has been agreed. </w:t>
                            </w:r>
                            <w:r w:rsidR="009654A6" w:rsidRPr="00F72697">
                              <w:rPr>
                                <w:iCs/>
                              </w:rPr>
                              <w:t>In both situations we also should be completing a safety plan as part of closure and step</w:t>
                            </w:r>
                            <w:r w:rsidR="002C6AEE">
                              <w:rPr>
                                <w:iCs/>
                              </w:rPr>
                              <w:t>-</w:t>
                            </w:r>
                            <w:r w:rsidR="009654A6" w:rsidRPr="00F72697">
                              <w:rPr>
                                <w:iCs/>
                              </w:rPr>
                              <w:t>down</w:t>
                            </w:r>
                            <w:r w:rsidR="002C6AEE">
                              <w:rPr>
                                <w:iCs/>
                              </w:rPr>
                              <w:t>;</w:t>
                            </w:r>
                            <w:r w:rsidR="009654A6" w:rsidRPr="00F72697">
                              <w:rPr>
                                <w:iCs/>
                              </w:rPr>
                              <w:t xml:space="preserve"> good practice would ensure that we have professionals, parents</w:t>
                            </w:r>
                            <w:r w:rsidR="002C6AEE">
                              <w:rPr>
                                <w:iCs/>
                              </w:rPr>
                              <w:t xml:space="preserve"> </w:t>
                            </w:r>
                            <w:r w:rsidR="009654A6" w:rsidRPr="00F72697">
                              <w:rPr>
                                <w:iCs/>
                              </w:rPr>
                              <w:t>/</w:t>
                            </w:r>
                            <w:r w:rsidR="002C6AEE">
                              <w:rPr>
                                <w:iCs/>
                              </w:rPr>
                              <w:t xml:space="preserve"> </w:t>
                            </w:r>
                            <w:r w:rsidR="009654A6" w:rsidRPr="00F72697">
                              <w:rPr>
                                <w:iCs/>
                              </w:rPr>
                              <w:t>care</w:t>
                            </w:r>
                            <w:r w:rsidR="002C6AEE">
                              <w:rPr>
                                <w:iCs/>
                              </w:rPr>
                              <w:t>r</w:t>
                            </w:r>
                            <w:r w:rsidR="009654A6" w:rsidRPr="00F72697">
                              <w:rPr>
                                <w:iCs/>
                              </w:rPr>
                              <w:t>s and children</w:t>
                            </w:r>
                            <w:r w:rsidR="002C6AEE">
                              <w:rPr>
                                <w:iCs/>
                              </w:rPr>
                              <w:t xml:space="preserve"> </w:t>
                            </w:r>
                            <w:r w:rsidR="009654A6" w:rsidRPr="00F72697">
                              <w:rPr>
                                <w:iCs/>
                              </w:rPr>
                              <w:t>/</w:t>
                            </w:r>
                            <w:r w:rsidR="002C6AEE">
                              <w:rPr>
                                <w:iCs/>
                              </w:rPr>
                              <w:t xml:space="preserve"> </w:t>
                            </w:r>
                            <w:r w:rsidR="009654A6" w:rsidRPr="00F72697">
                              <w:rPr>
                                <w:iCs/>
                              </w:rPr>
                              <w:t>young people involved in safety plans and we need to ensure all children have their own age-appropriate safety plan.</w:t>
                            </w:r>
                            <w:r w:rsidR="00A42F45" w:rsidRPr="00F72697">
                              <w:rPr>
                                <w:iCs/>
                              </w:rPr>
                              <w:t xml:space="preserve"> </w:t>
                            </w:r>
                            <w:r w:rsidR="00BA1407" w:rsidRPr="00F72697">
                              <w:rPr>
                                <w:iCs/>
                              </w:rPr>
                              <w:t xml:space="preserve">If we are closing a case and there is NFA from any other agencies, a safety plan would still be good practice for the family. </w:t>
                            </w:r>
                          </w:p>
                          <w:p w14:paraId="16D257CA" w14:textId="56E75AD7" w:rsidR="00812257" w:rsidRDefault="002C6AEE" w:rsidP="004D79FA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We should consider creating </w:t>
                            </w:r>
                            <w:r w:rsidR="00812257">
                              <w:rPr>
                                <w:iCs/>
                              </w:rPr>
                              <w:t xml:space="preserve">Safety plans </w:t>
                            </w:r>
                            <w:r>
                              <w:rPr>
                                <w:iCs/>
                              </w:rPr>
                              <w:t>for:</w:t>
                            </w:r>
                          </w:p>
                          <w:p w14:paraId="38B93351" w14:textId="77777777" w:rsidR="00812257" w:rsidRDefault="00812257" w:rsidP="008122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Professionals</w:t>
                            </w:r>
                          </w:p>
                          <w:p w14:paraId="33F27BA6" w14:textId="77777777" w:rsidR="00812257" w:rsidRDefault="00812257" w:rsidP="008122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Parents</w:t>
                            </w:r>
                          </w:p>
                          <w:p w14:paraId="264243E5" w14:textId="4EB65EFE" w:rsidR="00812257" w:rsidRDefault="00812257" w:rsidP="008122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Children’s version</w:t>
                            </w:r>
                          </w:p>
                          <w:p w14:paraId="45671834" w14:textId="77777777" w:rsidR="00812257" w:rsidRPr="00812257" w:rsidRDefault="00812257" w:rsidP="00812257">
                            <w:pPr>
                              <w:pStyle w:val="ListParagraph"/>
                              <w:contextualSpacing w:val="0"/>
                              <w:rPr>
                                <w:rFonts w:eastAsia="Times New Roman"/>
                              </w:rPr>
                            </w:pPr>
                          </w:p>
                          <w:p w14:paraId="07BA864A" w14:textId="18B34172" w:rsidR="00A42F45" w:rsidRPr="00F72697" w:rsidRDefault="00A42F45" w:rsidP="004D79FA">
                            <w:pPr>
                              <w:jc w:val="both"/>
                              <w:rPr>
                                <w:iCs/>
                              </w:rPr>
                            </w:pPr>
                            <w:r w:rsidRPr="00F72697">
                              <w:rPr>
                                <w:iCs/>
                              </w:rPr>
                              <w:t>When communicating with health</w:t>
                            </w:r>
                            <w:r w:rsidR="002C6AEE">
                              <w:rPr>
                                <w:iCs/>
                              </w:rPr>
                              <w:t>:</w:t>
                            </w:r>
                            <w:r w:rsidRPr="00F72697">
                              <w:rPr>
                                <w:iCs/>
                              </w:rPr>
                              <w:t xml:space="preserve"> we need to be mindful that Health</w:t>
                            </w:r>
                            <w:r w:rsidR="002C6AEE">
                              <w:rPr>
                                <w:iCs/>
                              </w:rPr>
                              <w:t xml:space="preserve">, </w:t>
                            </w:r>
                            <w:r w:rsidRPr="00F72697">
                              <w:rPr>
                                <w:iCs/>
                              </w:rPr>
                              <w:t>in our area</w:t>
                            </w:r>
                            <w:r w:rsidR="002C6AEE">
                              <w:rPr>
                                <w:iCs/>
                              </w:rPr>
                              <w:t>,</w:t>
                            </w:r>
                            <w:r w:rsidRPr="00F72697">
                              <w:rPr>
                                <w:iCs/>
                              </w:rPr>
                              <w:t xml:space="preserve"> is not one organisation and they work with different recording systems</w:t>
                            </w:r>
                            <w:r w:rsidR="002C6AEE">
                              <w:rPr>
                                <w:iCs/>
                              </w:rPr>
                              <w:t>;</w:t>
                            </w:r>
                            <w:r w:rsidRPr="00F72697">
                              <w:rPr>
                                <w:iCs/>
                              </w:rPr>
                              <w:t xml:space="preserve"> so</w:t>
                            </w:r>
                            <w:r w:rsidR="002C6AEE">
                              <w:rPr>
                                <w:iCs/>
                              </w:rPr>
                              <w:t>,</w:t>
                            </w:r>
                            <w:r w:rsidRPr="00F72697">
                              <w:rPr>
                                <w:iCs/>
                              </w:rPr>
                              <w:t xml:space="preserve"> to just communicate with one person in Health will not automatically mean that all professionals from health will receive the information. If we have more than one person working with a family from health, please remember to ensure everyone is updated on case decision</w:t>
                            </w:r>
                            <w:r w:rsidR="002C6AEE">
                              <w:rPr>
                                <w:iCs/>
                              </w:rPr>
                              <w:t xml:space="preserve">s - </w:t>
                            </w:r>
                            <w:r w:rsidRPr="00F72697">
                              <w:rPr>
                                <w:iCs/>
                              </w:rPr>
                              <w:t>either by communicating with them all individually</w:t>
                            </w:r>
                            <w:r w:rsidR="002C6AEE">
                              <w:rPr>
                                <w:iCs/>
                              </w:rPr>
                              <w:t>,</w:t>
                            </w:r>
                            <w:r w:rsidRPr="00F72697">
                              <w:rPr>
                                <w:iCs/>
                              </w:rPr>
                              <w:t xml:space="preserve"> or agreeing with one key hea</w:t>
                            </w:r>
                            <w:r w:rsidR="002C6AEE">
                              <w:rPr>
                                <w:iCs/>
                              </w:rPr>
                              <w:t>l</w:t>
                            </w:r>
                            <w:r w:rsidRPr="00F72697">
                              <w:rPr>
                                <w:iCs/>
                              </w:rPr>
                              <w:t xml:space="preserve">th professional that they will ensure all </w:t>
                            </w:r>
                            <w:r w:rsidR="002C6AEE">
                              <w:rPr>
                                <w:iCs/>
                              </w:rPr>
                              <w:t xml:space="preserve">other </w:t>
                            </w:r>
                            <w:r w:rsidRPr="00F72697">
                              <w:rPr>
                                <w:iCs/>
                              </w:rPr>
                              <w:t>health professionals working with the child, young person and family are informed of decisions.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75E3F" id="AutoShape 13" o:spid="_x0000_s1029" style="position:absolute;left:0;text-align:left;margin-left:0;margin-top:33.15pt;width:528.75pt;height:632.2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8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" fillcolor="white [3201]" strokecolor="#76923c [2406]" strokeweight="2pt">
                <v:textbox>
                  <w:txbxContent>
                    <w:p w14:paraId="3F4B13E0" w14:textId="0412071C" w:rsidR="00BA1407" w:rsidRPr="00F72697" w:rsidRDefault="0031790D" w:rsidP="00BA1407">
                      <w:pPr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72697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Always remember…</w:t>
                      </w:r>
                    </w:p>
                    <w:p w14:paraId="5A5C44C0" w14:textId="3BBACC39" w:rsidR="0031790D" w:rsidRPr="00F72697" w:rsidRDefault="0031790D" w:rsidP="00BA1407">
                      <w:pPr>
                        <w:rPr>
                          <w:iCs/>
                        </w:rPr>
                      </w:pPr>
                      <w:r w:rsidRPr="00F72697">
                        <w:rPr>
                          <w:iCs/>
                        </w:rPr>
                        <w:t>Share reports where and when appropriate</w:t>
                      </w:r>
                      <w:r w:rsidR="00CE6E37">
                        <w:rPr>
                          <w:iCs/>
                        </w:rPr>
                        <w:t>;</w:t>
                      </w:r>
                      <w:r w:rsidRPr="00F72697">
                        <w:rPr>
                          <w:iCs/>
                        </w:rPr>
                        <w:t xml:space="preserve"> when closing a case or completing a report, good practice would be to share this with the other professionals who have contributed to our assessments. It</w:t>
                      </w:r>
                      <w:r w:rsidR="00A42F45" w:rsidRPr="00F72697">
                        <w:rPr>
                          <w:iCs/>
                        </w:rPr>
                        <w:t>’s</w:t>
                      </w:r>
                      <w:r w:rsidRPr="00F72697">
                        <w:rPr>
                          <w:iCs/>
                        </w:rPr>
                        <w:t xml:space="preserve"> </w:t>
                      </w:r>
                      <w:r w:rsidR="004D79FA" w:rsidRPr="00F72697">
                        <w:rPr>
                          <w:iCs/>
                        </w:rPr>
                        <w:t xml:space="preserve">important </w:t>
                      </w:r>
                      <w:r w:rsidRPr="00F72697">
                        <w:rPr>
                          <w:iCs/>
                        </w:rPr>
                        <w:t>to gain parents</w:t>
                      </w:r>
                      <w:r w:rsidR="00CE6E37">
                        <w:rPr>
                          <w:iCs/>
                        </w:rPr>
                        <w:t xml:space="preserve">’ </w:t>
                      </w:r>
                      <w:r w:rsidRPr="00F72697">
                        <w:rPr>
                          <w:iCs/>
                        </w:rPr>
                        <w:t>/</w:t>
                      </w:r>
                      <w:r w:rsidR="00CE6E37">
                        <w:rPr>
                          <w:iCs/>
                        </w:rPr>
                        <w:t xml:space="preserve"> </w:t>
                      </w:r>
                      <w:r w:rsidRPr="00F72697">
                        <w:rPr>
                          <w:iCs/>
                        </w:rPr>
                        <w:t>carers</w:t>
                      </w:r>
                      <w:r w:rsidR="00CE6E37">
                        <w:rPr>
                          <w:iCs/>
                        </w:rPr>
                        <w:t>’</w:t>
                      </w:r>
                      <w:r w:rsidRPr="00F72697">
                        <w:rPr>
                          <w:iCs/>
                        </w:rPr>
                        <w:t xml:space="preserve"> consent</w:t>
                      </w:r>
                      <w:r w:rsidR="00CE6E37">
                        <w:rPr>
                          <w:iCs/>
                        </w:rPr>
                        <w:t>s</w:t>
                      </w:r>
                      <w:r w:rsidRPr="00F72697">
                        <w:rPr>
                          <w:iCs/>
                        </w:rPr>
                        <w:t xml:space="preserve"> to share report</w:t>
                      </w:r>
                      <w:r w:rsidR="00CE6E37">
                        <w:rPr>
                          <w:iCs/>
                        </w:rPr>
                        <w:t>s,</w:t>
                      </w:r>
                      <w:r w:rsidRPr="00F72697">
                        <w:rPr>
                          <w:iCs/>
                        </w:rPr>
                        <w:t xml:space="preserve"> but it</w:t>
                      </w:r>
                      <w:r w:rsidR="009654A6" w:rsidRPr="00F72697">
                        <w:rPr>
                          <w:iCs/>
                        </w:rPr>
                        <w:t>’</w:t>
                      </w:r>
                      <w:r w:rsidRPr="00F72697">
                        <w:rPr>
                          <w:iCs/>
                        </w:rPr>
                        <w:t>s important that other professionals are aware of risks, concerns</w:t>
                      </w:r>
                      <w:r w:rsidR="00CE6E37">
                        <w:rPr>
                          <w:iCs/>
                        </w:rPr>
                        <w:t>,</w:t>
                      </w:r>
                      <w:r w:rsidRPr="00F72697">
                        <w:rPr>
                          <w:iCs/>
                        </w:rPr>
                        <w:t xml:space="preserve"> or signs to look out for. </w:t>
                      </w:r>
                    </w:p>
                    <w:p w14:paraId="145FA0DB" w14:textId="67DBA62E" w:rsidR="00F72697" w:rsidRPr="00F72697" w:rsidRDefault="00F72697" w:rsidP="00BA1407">
                      <w:pPr>
                        <w:rPr>
                          <w:b/>
                          <w:bCs/>
                          <w:iCs/>
                        </w:rPr>
                      </w:pPr>
                      <w:r w:rsidRPr="00F72697">
                        <w:rPr>
                          <w:iCs/>
                        </w:rPr>
                        <w:t>Management Oversight – good practice is that we have clear manager oversight when we are closing a case</w:t>
                      </w:r>
                      <w:r w:rsidR="00CE6E37">
                        <w:rPr>
                          <w:iCs/>
                        </w:rPr>
                        <w:t>;</w:t>
                      </w:r>
                      <w:r w:rsidRPr="00F72697">
                        <w:rPr>
                          <w:iCs/>
                        </w:rPr>
                        <w:t xml:space="preserve"> this should clearly evidence our reasons for closing the case and what informed our decision. We should also clearly set out if there are any responsibilities for other professionals. </w:t>
                      </w:r>
                    </w:p>
                    <w:p w14:paraId="60863E80" w14:textId="6EB14912" w:rsidR="0031790D" w:rsidRPr="00F72697" w:rsidRDefault="0031790D" w:rsidP="004D79FA">
                      <w:pPr>
                        <w:jc w:val="both"/>
                        <w:rPr>
                          <w:iCs/>
                        </w:rPr>
                      </w:pPr>
                      <w:r w:rsidRPr="00F72697">
                        <w:rPr>
                          <w:iCs/>
                        </w:rPr>
                        <w:t xml:space="preserve">Sending </w:t>
                      </w:r>
                      <w:r w:rsidR="004D79FA" w:rsidRPr="00F72697">
                        <w:rPr>
                          <w:iCs/>
                        </w:rPr>
                        <w:t>letters</w:t>
                      </w:r>
                      <w:r w:rsidRPr="00F72697">
                        <w:rPr>
                          <w:iCs/>
                        </w:rPr>
                        <w:t xml:space="preserve"> or e</w:t>
                      </w:r>
                      <w:r w:rsidR="00CE6E37">
                        <w:rPr>
                          <w:iCs/>
                        </w:rPr>
                        <w:t>-</w:t>
                      </w:r>
                      <w:r w:rsidRPr="00F72697">
                        <w:rPr>
                          <w:iCs/>
                        </w:rPr>
                        <w:t>mails</w:t>
                      </w:r>
                      <w:r w:rsidR="00CE6E37">
                        <w:rPr>
                          <w:iCs/>
                        </w:rPr>
                        <w:t>;</w:t>
                      </w:r>
                      <w:r w:rsidRPr="00F72697">
                        <w:rPr>
                          <w:iCs/>
                        </w:rPr>
                        <w:t xml:space="preserve"> we may have had discussion</w:t>
                      </w:r>
                      <w:r w:rsidR="00CE6E37">
                        <w:rPr>
                          <w:iCs/>
                        </w:rPr>
                        <w:t>s</w:t>
                      </w:r>
                      <w:r w:rsidRPr="00F72697">
                        <w:rPr>
                          <w:iCs/>
                        </w:rPr>
                        <w:t xml:space="preserve"> in meetings</w:t>
                      </w:r>
                      <w:r w:rsidR="00CE6E37">
                        <w:rPr>
                          <w:iCs/>
                        </w:rPr>
                        <w:t>,</w:t>
                      </w:r>
                      <w:r w:rsidRPr="00F72697">
                        <w:rPr>
                          <w:iCs/>
                        </w:rPr>
                        <w:t xml:space="preserve"> or </w:t>
                      </w:r>
                      <w:r w:rsidR="004D79FA" w:rsidRPr="00F72697">
                        <w:rPr>
                          <w:iCs/>
                        </w:rPr>
                        <w:t xml:space="preserve">individually </w:t>
                      </w:r>
                      <w:r w:rsidRPr="00F72697">
                        <w:rPr>
                          <w:iCs/>
                        </w:rPr>
                        <w:t>with professionals</w:t>
                      </w:r>
                      <w:r w:rsidR="00CE6E37">
                        <w:rPr>
                          <w:iCs/>
                        </w:rPr>
                        <w:t>,</w:t>
                      </w:r>
                      <w:r w:rsidRPr="00F72697">
                        <w:rPr>
                          <w:iCs/>
                        </w:rPr>
                        <w:t xml:space="preserve"> about our intentions to close or step</w:t>
                      </w:r>
                      <w:r w:rsidR="00CE6E37">
                        <w:rPr>
                          <w:iCs/>
                        </w:rPr>
                        <w:t>-down</w:t>
                      </w:r>
                      <w:r w:rsidRPr="00F72697">
                        <w:rPr>
                          <w:iCs/>
                        </w:rPr>
                        <w:t xml:space="preserve"> a case to other services</w:t>
                      </w:r>
                      <w:r w:rsidR="004D79FA" w:rsidRPr="00F72697">
                        <w:rPr>
                          <w:iCs/>
                        </w:rPr>
                        <w:t>. G</w:t>
                      </w:r>
                      <w:r w:rsidRPr="00F72697">
                        <w:rPr>
                          <w:iCs/>
                        </w:rPr>
                        <w:t>ood practice is to follow up these conversations with written information. A closure letter or e</w:t>
                      </w:r>
                      <w:r w:rsidR="002C6AEE">
                        <w:rPr>
                          <w:iCs/>
                        </w:rPr>
                        <w:t>-</w:t>
                      </w:r>
                      <w:r w:rsidRPr="00F72697">
                        <w:rPr>
                          <w:iCs/>
                        </w:rPr>
                        <w:t xml:space="preserve">mail to professionals is important so this is then held on their files as a record of the case decision and any actions. </w:t>
                      </w:r>
                      <w:r w:rsidR="005F7CC8" w:rsidRPr="00F72697">
                        <w:rPr>
                          <w:iCs/>
                        </w:rPr>
                        <w:t>Remember to also store this in our records so we can evidence communications with others.</w:t>
                      </w:r>
                    </w:p>
                    <w:p w14:paraId="0A6C19FA" w14:textId="0B9DD1EA" w:rsidR="004D79FA" w:rsidRDefault="00A97F66" w:rsidP="004D79FA">
                      <w:pPr>
                        <w:jc w:val="both"/>
                        <w:rPr>
                          <w:iCs/>
                        </w:rPr>
                      </w:pPr>
                      <w:r w:rsidRPr="00F72697">
                        <w:t>Good clear closures summaries or step-down</w:t>
                      </w:r>
                      <w:r w:rsidR="002C6AEE">
                        <w:t xml:space="preserve"> </w:t>
                      </w:r>
                      <w:r w:rsidRPr="00F72697">
                        <w:t>/</w:t>
                      </w:r>
                      <w:r w:rsidR="002C6AEE">
                        <w:t xml:space="preserve"> </w:t>
                      </w:r>
                      <w:r w:rsidRPr="00F72697">
                        <w:t>safety plans</w:t>
                      </w:r>
                      <w:r w:rsidR="002C6AEE">
                        <w:t>;</w:t>
                      </w:r>
                      <w:r w:rsidR="0031790D" w:rsidRPr="00F72697">
                        <w:rPr>
                          <w:iCs/>
                        </w:rPr>
                        <w:t xml:space="preserve"> </w:t>
                      </w:r>
                      <w:r w:rsidR="00A42F45" w:rsidRPr="00F72697">
                        <w:rPr>
                          <w:iCs/>
                        </w:rPr>
                        <w:t>often</w:t>
                      </w:r>
                      <w:r w:rsidR="002C6AEE">
                        <w:rPr>
                          <w:iCs/>
                        </w:rPr>
                        <w:t>,</w:t>
                      </w:r>
                      <w:r w:rsidR="00A42F45" w:rsidRPr="00F72697">
                        <w:rPr>
                          <w:iCs/>
                        </w:rPr>
                        <w:t xml:space="preserve"> when we close a </w:t>
                      </w:r>
                      <w:r w:rsidR="004D79FA" w:rsidRPr="00F72697">
                        <w:rPr>
                          <w:iCs/>
                        </w:rPr>
                        <w:t>case,</w:t>
                      </w:r>
                      <w:r w:rsidR="00A42F45" w:rsidRPr="00F72697">
                        <w:rPr>
                          <w:iCs/>
                        </w:rPr>
                        <w:t xml:space="preserve"> we identify on</w:t>
                      </w:r>
                      <w:r w:rsidR="002C6AEE">
                        <w:rPr>
                          <w:iCs/>
                        </w:rPr>
                        <w:t>-</w:t>
                      </w:r>
                      <w:r w:rsidR="00A42F45" w:rsidRPr="00F72697">
                        <w:rPr>
                          <w:iCs/>
                        </w:rPr>
                        <w:t>going work or responsibilities for other professionals</w:t>
                      </w:r>
                      <w:r w:rsidR="002C6AEE">
                        <w:rPr>
                          <w:iCs/>
                        </w:rPr>
                        <w:t xml:space="preserve"> -</w:t>
                      </w:r>
                      <w:r w:rsidR="00A42F45" w:rsidRPr="00F72697">
                        <w:rPr>
                          <w:iCs/>
                        </w:rPr>
                        <w:t xml:space="preserve"> these would have been pre</w:t>
                      </w:r>
                      <w:r w:rsidR="002C6AEE">
                        <w:rPr>
                          <w:iCs/>
                        </w:rPr>
                        <w:t>-</w:t>
                      </w:r>
                      <w:r w:rsidR="00A42F45" w:rsidRPr="00F72697">
                        <w:rPr>
                          <w:iCs/>
                        </w:rPr>
                        <w:t>agreed with</w:t>
                      </w:r>
                      <w:r w:rsidR="002C6AEE">
                        <w:rPr>
                          <w:iCs/>
                        </w:rPr>
                        <w:t xml:space="preserve"> relevant</w:t>
                      </w:r>
                      <w:r w:rsidR="00A42F45" w:rsidRPr="00F72697">
                        <w:rPr>
                          <w:iCs/>
                        </w:rPr>
                        <w:t xml:space="preserve"> professionals and the family but it</w:t>
                      </w:r>
                      <w:r w:rsidR="009654A6" w:rsidRPr="00F72697">
                        <w:rPr>
                          <w:iCs/>
                        </w:rPr>
                        <w:t>’</w:t>
                      </w:r>
                      <w:r w:rsidR="00A42F45" w:rsidRPr="00F72697">
                        <w:rPr>
                          <w:iCs/>
                        </w:rPr>
                        <w:t xml:space="preserve">s important that we </w:t>
                      </w:r>
                      <w:r w:rsidR="009654A6" w:rsidRPr="00F72697">
                        <w:rPr>
                          <w:iCs/>
                        </w:rPr>
                        <w:t>clearly record</w:t>
                      </w:r>
                      <w:r w:rsidR="00A42F45" w:rsidRPr="00F72697">
                        <w:rPr>
                          <w:iCs/>
                        </w:rPr>
                        <w:t xml:space="preserve"> any actions for others and share this information with them. If</w:t>
                      </w:r>
                      <w:r w:rsidR="002C6AEE">
                        <w:rPr>
                          <w:iCs/>
                        </w:rPr>
                        <w:t>, when</w:t>
                      </w:r>
                      <w:r w:rsidR="00A42F45" w:rsidRPr="00F72697">
                        <w:rPr>
                          <w:iCs/>
                        </w:rPr>
                        <w:t xml:space="preserve"> closing a </w:t>
                      </w:r>
                      <w:r w:rsidR="004D79FA" w:rsidRPr="00F72697">
                        <w:rPr>
                          <w:iCs/>
                        </w:rPr>
                        <w:t>case</w:t>
                      </w:r>
                      <w:r w:rsidR="009654A6" w:rsidRPr="00F72697">
                        <w:rPr>
                          <w:iCs/>
                        </w:rPr>
                        <w:t xml:space="preserve"> or stepping down</w:t>
                      </w:r>
                      <w:r w:rsidR="004D79FA" w:rsidRPr="00F72697">
                        <w:rPr>
                          <w:iCs/>
                        </w:rPr>
                        <w:t>,</w:t>
                      </w:r>
                      <w:r w:rsidR="00A42F45" w:rsidRPr="00F72697">
                        <w:rPr>
                          <w:iCs/>
                        </w:rPr>
                        <w:t xml:space="preserve"> case closures </w:t>
                      </w:r>
                      <w:r w:rsidR="002C6AEE">
                        <w:rPr>
                          <w:iCs/>
                        </w:rPr>
                        <w:t>are</w:t>
                      </w:r>
                      <w:r w:rsidR="00A42F45" w:rsidRPr="00F72697">
                        <w:rPr>
                          <w:iCs/>
                        </w:rPr>
                        <w:t xml:space="preserve"> shared with others</w:t>
                      </w:r>
                      <w:r w:rsidR="002C6AEE">
                        <w:rPr>
                          <w:iCs/>
                        </w:rPr>
                        <w:t xml:space="preserve">, this is </w:t>
                      </w:r>
                      <w:r w:rsidR="00A42F45" w:rsidRPr="00F72697">
                        <w:rPr>
                          <w:iCs/>
                        </w:rPr>
                        <w:t xml:space="preserve">documentation of what has been agreed. </w:t>
                      </w:r>
                      <w:r w:rsidR="009654A6" w:rsidRPr="00F72697">
                        <w:rPr>
                          <w:iCs/>
                        </w:rPr>
                        <w:t>In both situations we also should be completing a safety plan as part of closure and step</w:t>
                      </w:r>
                      <w:r w:rsidR="002C6AEE">
                        <w:rPr>
                          <w:iCs/>
                        </w:rPr>
                        <w:t>-</w:t>
                      </w:r>
                      <w:r w:rsidR="009654A6" w:rsidRPr="00F72697">
                        <w:rPr>
                          <w:iCs/>
                        </w:rPr>
                        <w:t>down</w:t>
                      </w:r>
                      <w:r w:rsidR="002C6AEE">
                        <w:rPr>
                          <w:iCs/>
                        </w:rPr>
                        <w:t>;</w:t>
                      </w:r>
                      <w:r w:rsidR="009654A6" w:rsidRPr="00F72697">
                        <w:rPr>
                          <w:iCs/>
                        </w:rPr>
                        <w:t xml:space="preserve"> good practice would ensure that we have professionals, parents</w:t>
                      </w:r>
                      <w:r w:rsidR="002C6AEE">
                        <w:rPr>
                          <w:iCs/>
                        </w:rPr>
                        <w:t xml:space="preserve"> </w:t>
                      </w:r>
                      <w:r w:rsidR="009654A6" w:rsidRPr="00F72697">
                        <w:rPr>
                          <w:iCs/>
                        </w:rPr>
                        <w:t>/</w:t>
                      </w:r>
                      <w:r w:rsidR="002C6AEE">
                        <w:rPr>
                          <w:iCs/>
                        </w:rPr>
                        <w:t xml:space="preserve"> </w:t>
                      </w:r>
                      <w:r w:rsidR="009654A6" w:rsidRPr="00F72697">
                        <w:rPr>
                          <w:iCs/>
                        </w:rPr>
                        <w:t>care</w:t>
                      </w:r>
                      <w:r w:rsidR="002C6AEE">
                        <w:rPr>
                          <w:iCs/>
                        </w:rPr>
                        <w:t>r</w:t>
                      </w:r>
                      <w:r w:rsidR="009654A6" w:rsidRPr="00F72697">
                        <w:rPr>
                          <w:iCs/>
                        </w:rPr>
                        <w:t>s and children</w:t>
                      </w:r>
                      <w:r w:rsidR="002C6AEE">
                        <w:rPr>
                          <w:iCs/>
                        </w:rPr>
                        <w:t xml:space="preserve"> </w:t>
                      </w:r>
                      <w:r w:rsidR="009654A6" w:rsidRPr="00F72697">
                        <w:rPr>
                          <w:iCs/>
                        </w:rPr>
                        <w:t>/</w:t>
                      </w:r>
                      <w:r w:rsidR="002C6AEE">
                        <w:rPr>
                          <w:iCs/>
                        </w:rPr>
                        <w:t xml:space="preserve"> </w:t>
                      </w:r>
                      <w:r w:rsidR="009654A6" w:rsidRPr="00F72697">
                        <w:rPr>
                          <w:iCs/>
                        </w:rPr>
                        <w:t>young people involved in safety plans and we need to ensure all children have their own age-appropriate safety plan.</w:t>
                      </w:r>
                      <w:r w:rsidR="00A42F45" w:rsidRPr="00F72697">
                        <w:rPr>
                          <w:iCs/>
                        </w:rPr>
                        <w:t xml:space="preserve"> </w:t>
                      </w:r>
                      <w:r w:rsidR="00BA1407" w:rsidRPr="00F72697">
                        <w:rPr>
                          <w:iCs/>
                        </w:rPr>
                        <w:t xml:space="preserve">If we are closing a case and there is NFA from any other agencies, a safety plan would still be good practice for the family. </w:t>
                      </w:r>
                    </w:p>
                    <w:p w14:paraId="16D257CA" w14:textId="56E75AD7" w:rsidR="00812257" w:rsidRDefault="002C6AEE" w:rsidP="004D79FA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We should consider creating </w:t>
                      </w:r>
                      <w:r w:rsidR="00812257">
                        <w:rPr>
                          <w:iCs/>
                        </w:rPr>
                        <w:t xml:space="preserve">Safety plans </w:t>
                      </w:r>
                      <w:r>
                        <w:rPr>
                          <w:iCs/>
                        </w:rPr>
                        <w:t>for:</w:t>
                      </w:r>
                    </w:p>
                    <w:p w14:paraId="38B93351" w14:textId="77777777" w:rsidR="00812257" w:rsidRDefault="00812257" w:rsidP="008122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 w:val="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Professionals</w:t>
                      </w:r>
                    </w:p>
                    <w:p w14:paraId="33F27BA6" w14:textId="77777777" w:rsidR="00812257" w:rsidRDefault="00812257" w:rsidP="008122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 w:val="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Parents</w:t>
                      </w:r>
                    </w:p>
                    <w:p w14:paraId="264243E5" w14:textId="4EB65EFE" w:rsidR="00812257" w:rsidRDefault="00812257" w:rsidP="008122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 w:val="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Children’s version</w:t>
                      </w:r>
                    </w:p>
                    <w:p w14:paraId="45671834" w14:textId="77777777" w:rsidR="00812257" w:rsidRPr="00812257" w:rsidRDefault="00812257" w:rsidP="00812257">
                      <w:pPr>
                        <w:pStyle w:val="ListParagraph"/>
                        <w:contextualSpacing w:val="0"/>
                        <w:rPr>
                          <w:rFonts w:eastAsia="Times New Roman"/>
                        </w:rPr>
                      </w:pPr>
                    </w:p>
                    <w:p w14:paraId="07BA864A" w14:textId="18B34172" w:rsidR="00A42F45" w:rsidRPr="00F72697" w:rsidRDefault="00A42F45" w:rsidP="004D79FA">
                      <w:pPr>
                        <w:jc w:val="both"/>
                        <w:rPr>
                          <w:iCs/>
                        </w:rPr>
                      </w:pPr>
                      <w:r w:rsidRPr="00F72697">
                        <w:rPr>
                          <w:iCs/>
                        </w:rPr>
                        <w:t>When communicating with health</w:t>
                      </w:r>
                      <w:r w:rsidR="002C6AEE">
                        <w:rPr>
                          <w:iCs/>
                        </w:rPr>
                        <w:t>:</w:t>
                      </w:r>
                      <w:r w:rsidRPr="00F72697">
                        <w:rPr>
                          <w:iCs/>
                        </w:rPr>
                        <w:t xml:space="preserve"> we need to be mindful that Health</w:t>
                      </w:r>
                      <w:r w:rsidR="002C6AEE">
                        <w:rPr>
                          <w:iCs/>
                        </w:rPr>
                        <w:t xml:space="preserve">, </w:t>
                      </w:r>
                      <w:r w:rsidRPr="00F72697">
                        <w:rPr>
                          <w:iCs/>
                        </w:rPr>
                        <w:t>in our area</w:t>
                      </w:r>
                      <w:r w:rsidR="002C6AEE">
                        <w:rPr>
                          <w:iCs/>
                        </w:rPr>
                        <w:t>,</w:t>
                      </w:r>
                      <w:r w:rsidRPr="00F72697">
                        <w:rPr>
                          <w:iCs/>
                        </w:rPr>
                        <w:t xml:space="preserve"> is not one organisation and they work with different recording systems</w:t>
                      </w:r>
                      <w:r w:rsidR="002C6AEE">
                        <w:rPr>
                          <w:iCs/>
                        </w:rPr>
                        <w:t>;</w:t>
                      </w:r>
                      <w:r w:rsidRPr="00F72697">
                        <w:rPr>
                          <w:iCs/>
                        </w:rPr>
                        <w:t xml:space="preserve"> so</w:t>
                      </w:r>
                      <w:r w:rsidR="002C6AEE">
                        <w:rPr>
                          <w:iCs/>
                        </w:rPr>
                        <w:t>,</w:t>
                      </w:r>
                      <w:r w:rsidRPr="00F72697">
                        <w:rPr>
                          <w:iCs/>
                        </w:rPr>
                        <w:t xml:space="preserve"> to just communicate with one person in Health will not automatically mean that all professionals from health will receive the information. If we have more than one person working with a family from health, please remember to ensure everyone is updated on case decision</w:t>
                      </w:r>
                      <w:r w:rsidR="002C6AEE">
                        <w:rPr>
                          <w:iCs/>
                        </w:rPr>
                        <w:t xml:space="preserve">s - </w:t>
                      </w:r>
                      <w:r w:rsidRPr="00F72697">
                        <w:rPr>
                          <w:iCs/>
                        </w:rPr>
                        <w:t>either by communicating with them all individually</w:t>
                      </w:r>
                      <w:r w:rsidR="002C6AEE">
                        <w:rPr>
                          <w:iCs/>
                        </w:rPr>
                        <w:t>,</w:t>
                      </w:r>
                      <w:r w:rsidRPr="00F72697">
                        <w:rPr>
                          <w:iCs/>
                        </w:rPr>
                        <w:t xml:space="preserve"> or agreeing with one key hea</w:t>
                      </w:r>
                      <w:r w:rsidR="002C6AEE">
                        <w:rPr>
                          <w:iCs/>
                        </w:rPr>
                        <w:t>l</w:t>
                      </w:r>
                      <w:r w:rsidRPr="00F72697">
                        <w:rPr>
                          <w:iCs/>
                        </w:rPr>
                        <w:t xml:space="preserve">th professional that they will ensure all </w:t>
                      </w:r>
                      <w:r w:rsidR="002C6AEE">
                        <w:rPr>
                          <w:iCs/>
                        </w:rPr>
                        <w:t xml:space="preserve">other </w:t>
                      </w:r>
                      <w:r w:rsidRPr="00F72697">
                        <w:rPr>
                          <w:iCs/>
                        </w:rPr>
                        <w:t>health professionals working with the child, young person and family are informed of decisions.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E7F4AF" w14:textId="0BE470E9" w:rsidR="00BA1407" w:rsidRDefault="00BA1407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5F2EEEFA" w14:textId="4827E354" w:rsidR="00BA1407" w:rsidRDefault="00BA1407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A" w14:textId="78664A07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B" w14:textId="3FF10E3F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C" w14:textId="131B0CFF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D" w14:textId="3367D87C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E" w14:textId="77AD1053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1F" w14:textId="4C0B328D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20" w14:textId="0E93FF1E" w:rsidR="007B281C" w:rsidRDefault="007B281C" w:rsidP="001D75F9">
      <w:pPr>
        <w:jc w:val="center"/>
        <w:rPr>
          <w:b/>
          <w:noProof/>
          <w:sz w:val="28"/>
          <w:szCs w:val="28"/>
          <w:lang w:eastAsia="en-GB"/>
        </w:rPr>
      </w:pPr>
    </w:p>
    <w:p w14:paraId="13475E21" w14:textId="62B37119" w:rsidR="007B281C" w:rsidRDefault="00977055" w:rsidP="00977055">
      <w:pPr>
        <w:tabs>
          <w:tab w:val="left" w:pos="1230"/>
        </w:tabs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ab/>
      </w:r>
    </w:p>
    <w:p w14:paraId="13475E39" w14:textId="56C78F2E" w:rsidR="00870610" w:rsidRDefault="00870610" w:rsidP="007C2817">
      <w:pPr>
        <w:spacing w:after="0"/>
        <w:jc w:val="center"/>
        <w:rPr>
          <w:b/>
          <w:sz w:val="28"/>
          <w:szCs w:val="28"/>
        </w:rPr>
      </w:pPr>
    </w:p>
    <w:sectPr w:rsidR="00870610" w:rsidSect="00A410F7">
      <w:headerReference w:type="default" r:id="rId16"/>
      <w:pgSz w:w="11906" w:h="16838"/>
      <w:pgMar w:top="40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B1FC" w14:textId="77777777" w:rsidR="00EB53A0" w:rsidRDefault="00EB53A0" w:rsidP="001D75F9">
      <w:pPr>
        <w:spacing w:after="0" w:line="240" w:lineRule="auto"/>
      </w:pPr>
      <w:r>
        <w:separator/>
      </w:r>
    </w:p>
  </w:endnote>
  <w:endnote w:type="continuationSeparator" w:id="0">
    <w:p w14:paraId="6D8BC4A6" w14:textId="77777777" w:rsidR="00EB53A0" w:rsidRDefault="00EB53A0" w:rsidP="001D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A729" w14:textId="77777777" w:rsidR="00EB53A0" w:rsidRDefault="00EB53A0" w:rsidP="001D75F9">
      <w:pPr>
        <w:spacing w:after="0" w:line="240" w:lineRule="auto"/>
      </w:pPr>
      <w:r>
        <w:separator/>
      </w:r>
    </w:p>
  </w:footnote>
  <w:footnote w:type="continuationSeparator" w:id="0">
    <w:p w14:paraId="35EB0AEA" w14:textId="77777777" w:rsidR="00EB53A0" w:rsidRDefault="00EB53A0" w:rsidP="001D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5E4D" w14:textId="19FA94EE" w:rsidR="00975DF9" w:rsidRDefault="000B58DD" w:rsidP="000B58DD">
    <w:pPr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04EF"/>
    <w:multiLevelType w:val="hybridMultilevel"/>
    <w:tmpl w:val="F376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31975"/>
    <w:multiLevelType w:val="hybridMultilevel"/>
    <w:tmpl w:val="B95C9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56CBD"/>
    <w:multiLevelType w:val="hybridMultilevel"/>
    <w:tmpl w:val="95208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E208C"/>
    <w:multiLevelType w:val="hybridMultilevel"/>
    <w:tmpl w:val="ABBE0784"/>
    <w:lvl w:ilvl="0" w:tplc="AF7C9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E3F59"/>
    <w:multiLevelType w:val="hybridMultilevel"/>
    <w:tmpl w:val="C6A087E4"/>
    <w:lvl w:ilvl="0" w:tplc="9F86802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576226E"/>
    <w:multiLevelType w:val="hybridMultilevel"/>
    <w:tmpl w:val="1D2C9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7452">
    <w:abstractNumId w:val="1"/>
  </w:num>
  <w:num w:numId="2" w16cid:durableId="1473669562">
    <w:abstractNumId w:val="3"/>
  </w:num>
  <w:num w:numId="3" w16cid:durableId="736825330">
    <w:abstractNumId w:val="4"/>
  </w:num>
  <w:num w:numId="4" w16cid:durableId="1159886571">
    <w:abstractNumId w:val="5"/>
  </w:num>
  <w:num w:numId="5" w16cid:durableId="96796853">
    <w:abstractNumId w:val="2"/>
  </w:num>
  <w:num w:numId="6" w16cid:durableId="193790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F9"/>
    <w:rsid w:val="00011525"/>
    <w:rsid w:val="0001226C"/>
    <w:rsid w:val="00014E75"/>
    <w:rsid w:val="000216A1"/>
    <w:rsid w:val="00022A36"/>
    <w:rsid w:val="00025E0C"/>
    <w:rsid w:val="00026901"/>
    <w:rsid w:val="0003275E"/>
    <w:rsid w:val="00043C15"/>
    <w:rsid w:val="0004468A"/>
    <w:rsid w:val="00055E3B"/>
    <w:rsid w:val="00063BA0"/>
    <w:rsid w:val="00086E98"/>
    <w:rsid w:val="00087654"/>
    <w:rsid w:val="00091B25"/>
    <w:rsid w:val="0009276B"/>
    <w:rsid w:val="000A4C36"/>
    <w:rsid w:val="000A64B2"/>
    <w:rsid w:val="000B1CCF"/>
    <w:rsid w:val="000B58DD"/>
    <w:rsid w:val="000C2954"/>
    <w:rsid w:val="000C57EF"/>
    <w:rsid w:val="000D08FA"/>
    <w:rsid w:val="000D13D0"/>
    <w:rsid w:val="000D1C23"/>
    <w:rsid w:val="000D2279"/>
    <w:rsid w:val="000D2357"/>
    <w:rsid w:val="000D2794"/>
    <w:rsid w:val="000D465F"/>
    <w:rsid w:val="000E6B4D"/>
    <w:rsid w:val="00101975"/>
    <w:rsid w:val="00102C6B"/>
    <w:rsid w:val="0013007F"/>
    <w:rsid w:val="00135641"/>
    <w:rsid w:val="001367D4"/>
    <w:rsid w:val="00143087"/>
    <w:rsid w:val="001554B8"/>
    <w:rsid w:val="001646FF"/>
    <w:rsid w:val="00181E67"/>
    <w:rsid w:val="0018610C"/>
    <w:rsid w:val="00186365"/>
    <w:rsid w:val="0018665E"/>
    <w:rsid w:val="00187993"/>
    <w:rsid w:val="001919FB"/>
    <w:rsid w:val="00191A4B"/>
    <w:rsid w:val="001952D8"/>
    <w:rsid w:val="0019544F"/>
    <w:rsid w:val="00197538"/>
    <w:rsid w:val="001A2E77"/>
    <w:rsid w:val="001A4D37"/>
    <w:rsid w:val="001A6FE5"/>
    <w:rsid w:val="001B23F3"/>
    <w:rsid w:val="001B6452"/>
    <w:rsid w:val="001C28C8"/>
    <w:rsid w:val="001C3AA4"/>
    <w:rsid w:val="001C626A"/>
    <w:rsid w:val="001D311C"/>
    <w:rsid w:val="001D75F9"/>
    <w:rsid w:val="001E010A"/>
    <w:rsid w:val="001E76DA"/>
    <w:rsid w:val="001E7FE6"/>
    <w:rsid w:val="001F3C37"/>
    <w:rsid w:val="002126FF"/>
    <w:rsid w:val="00222C14"/>
    <w:rsid w:val="002241D0"/>
    <w:rsid w:val="002246B4"/>
    <w:rsid w:val="0022471B"/>
    <w:rsid w:val="00226D82"/>
    <w:rsid w:val="00227318"/>
    <w:rsid w:val="00227486"/>
    <w:rsid w:val="00240600"/>
    <w:rsid w:val="00247CA0"/>
    <w:rsid w:val="002523FA"/>
    <w:rsid w:val="00255424"/>
    <w:rsid w:val="00257F84"/>
    <w:rsid w:val="00262B9C"/>
    <w:rsid w:val="00265313"/>
    <w:rsid w:val="00271591"/>
    <w:rsid w:val="00272B44"/>
    <w:rsid w:val="00274CAC"/>
    <w:rsid w:val="00284494"/>
    <w:rsid w:val="00292779"/>
    <w:rsid w:val="002944D3"/>
    <w:rsid w:val="00296926"/>
    <w:rsid w:val="00296E93"/>
    <w:rsid w:val="002B0CF6"/>
    <w:rsid w:val="002B3126"/>
    <w:rsid w:val="002B3400"/>
    <w:rsid w:val="002B46FB"/>
    <w:rsid w:val="002B62A7"/>
    <w:rsid w:val="002C1942"/>
    <w:rsid w:val="002C268B"/>
    <w:rsid w:val="002C56DD"/>
    <w:rsid w:val="002C6999"/>
    <w:rsid w:val="002C6AEE"/>
    <w:rsid w:val="002D4B2D"/>
    <w:rsid w:val="002E59B1"/>
    <w:rsid w:val="002E6087"/>
    <w:rsid w:val="002E7CA5"/>
    <w:rsid w:val="00302317"/>
    <w:rsid w:val="00306419"/>
    <w:rsid w:val="00307DD3"/>
    <w:rsid w:val="0031332D"/>
    <w:rsid w:val="00313F37"/>
    <w:rsid w:val="0031790D"/>
    <w:rsid w:val="00317ACC"/>
    <w:rsid w:val="00324116"/>
    <w:rsid w:val="0032685E"/>
    <w:rsid w:val="003315F4"/>
    <w:rsid w:val="003328CA"/>
    <w:rsid w:val="003435F3"/>
    <w:rsid w:val="00352E0C"/>
    <w:rsid w:val="00356884"/>
    <w:rsid w:val="003600A9"/>
    <w:rsid w:val="00361C1D"/>
    <w:rsid w:val="00371B61"/>
    <w:rsid w:val="00375E20"/>
    <w:rsid w:val="00376639"/>
    <w:rsid w:val="00377B0E"/>
    <w:rsid w:val="00386159"/>
    <w:rsid w:val="00387992"/>
    <w:rsid w:val="00392725"/>
    <w:rsid w:val="0039349D"/>
    <w:rsid w:val="003A2D72"/>
    <w:rsid w:val="003A4171"/>
    <w:rsid w:val="003A531E"/>
    <w:rsid w:val="003A70EC"/>
    <w:rsid w:val="003C3F3D"/>
    <w:rsid w:val="003D6210"/>
    <w:rsid w:val="003E248E"/>
    <w:rsid w:val="003E4DC9"/>
    <w:rsid w:val="003E7EF5"/>
    <w:rsid w:val="003F02CB"/>
    <w:rsid w:val="003F0EE2"/>
    <w:rsid w:val="003F3A49"/>
    <w:rsid w:val="004000EB"/>
    <w:rsid w:val="0040453B"/>
    <w:rsid w:val="00412668"/>
    <w:rsid w:val="0042174A"/>
    <w:rsid w:val="00434247"/>
    <w:rsid w:val="0044576F"/>
    <w:rsid w:val="0044686D"/>
    <w:rsid w:val="00461721"/>
    <w:rsid w:val="0046427D"/>
    <w:rsid w:val="004660A9"/>
    <w:rsid w:val="004716EB"/>
    <w:rsid w:val="00474CCC"/>
    <w:rsid w:val="00480154"/>
    <w:rsid w:val="00481A96"/>
    <w:rsid w:val="004830F4"/>
    <w:rsid w:val="0048505A"/>
    <w:rsid w:val="00487DE4"/>
    <w:rsid w:val="00494073"/>
    <w:rsid w:val="00496013"/>
    <w:rsid w:val="004A469F"/>
    <w:rsid w:val="004A7CD2"/>
    <w:rsid w:val="004B2F64"/>
    <w:rsid w:val="004C0D69"/>
    <w:rsid w:val="004C2430"/>
    <w:rsid w:val="004D79FA"/>
    <w:rsid w:val="004E523E"/>
    <w:rsid w:val="004E689E"/>
    <w:rsid w:val="004F26EF"/>
    <w:rsid w:val="00505479"/>
    <w:rsid w:val="00511F76"/>
    <w:rsid w:val="00522D76"/>
    <w:rsid w:val="00525E2D"/>
    <w:rsid w:val="005324EA"/>
    <w:rsid w:val="00540603"/>
    <w:rsid w:val="005465AF"/>
    <w:rsid w:val="00547851"/>
    <w:rsid w:val="0055556F"/>
    <w:rsid w:val="00557D45"/>
    <w:rsid w:val="0056274C"/>
    <w:rsid w:val="0056317D"/>
    <w:rsid w:val="00565C66"/>
    <w:rsid w:val="00566483"/>
    <w:rsid w:val="00574680"/>
    <w:rsid w:val="00576615"/>
    <w:rsid w:val="005813A5"/>
    <w:rsid w:val="0058310D"/>
    <w:rsid w:val="005871CD"/>
    <w:rsid w:val="00587C59"/>
    <w:rsid w:val="005900E2"/>
    <w:rsid w:val="0059774E"/>
    <w:rsid w:val="005A122A"/>
    <w:rsid w:val="005A1E73"/>
    <w:rsid w:val="005A4B24"/>
    <w:rsid w:val="005B05E5"/>
    <w:rsid w:val="005B4B22"/>
    <w:rsid w:val="005B55FC"/>
    <w:rsid w:val="005C28C5"/>
    <w:rsid w:val="005C43DD"/>
    <w:rsid w:val="005D7AAA"/>
    <w:rsid w:val="005E065D"/>
    <w:rsid w:val="005E4AF1"/>
    <w:rsid w:val="005E7C0E"/>
    <w:rsid w:val="005F7CC8"/>
    <w:rsid w:val="005F7E00"/>
    <w:rsid w:val="006130F4"/>
    <w:rsid w:val="00630E39"/>
    <w:rsid w:val="00633C47"/>
    <w:rsid w:val="006375AC"/>
    <w:rsid w:val="006536C6"/>
    <w:rsid w:val="00654355"/>
    <w:rsid w:val="00674E23"/>
    <w:rsid w:val="00680B84"/>
    <w:rsid w:val="0068284F"/>
    <w:rsid w:val="00686CDC"/>
    <w:rsid w:val="00690BAB"/>
    <w:rsid w:val="00694D40"/>
    <w:rsid w:val="006A1CE1"/>
    <w:rsid w:val="006B30C2"/>
    <w:rsid w:val="006B76F7"/>
    <w:rsid w:val="006C60DF"/>
    <w:rsid w:val="006C683D"/>
    <w:rsid w:val="006E48D1"/>
    <w:rsid w:val="006F26A1"/>
    <w:rsid w:val="006F58C7"/>
    <w:rsid w:val="007134E6"/>
    <w:rsid w:val="00720B51"/>
    <w:rsid w:val="00726368"/>
    <w:rsid w:val="00734A44"/>
    <w:rsid w:val="00742322"/>
    <w:rsid w:val="00742330"/>
    <w:rsid w:val="00743F9C"/>
    <w:rsid w:val="007474F0"/>
    <w:rsid w:val="00750D7D"/>
    <w:rsid w:val="00754BB6"/>
    <w:rsid w:val="00760C1B"/>
    <w:rsid w:val="007635FE"/>
    <w:rsid w:val="00773464"/>
    <w:rsid w:val="00782CB8"/>
    <w:rsid w:val="00786221"/>
    <w:rsid w:val="007926BE"/>
    <w:rsid w:val="007942E4"/>
    <w:rsid w:val="0079567B"/>
    <w:rsid w:val="007A7280"/>
    <w:rsid w:val="007B281C"/>
    <w:rsid w:val="007C2817"/>
    <w:rsid w:val="007C45A3"/>
    <w:rsid w:val="007D250D"/>
    <w:rsid w:val="007D67BD"/>
    <w:rsid w:val="007D7E7A"/>
    <w:rsid w:val="007E3695"/>
    <w:rsid w:val="007E5C3E"/>
    <w:rsid w:val="00810A7B"/>
    <w:rsid w:val="00812257"/>
    <w:rsid w:val="0081310C"/>
    <w:rsid w:val="0082359B"/>
    <w:rsid w:val="00834E14"/>
    <w:rsid w:val="00836353"/>
    <w:rsid w:val="00837887"/>
    <w:rsid w:val="008433FE"/>
    <w:rsid w:val="008556B8"/>
    <w:rsid w:val="00857F30"/>
    <w:rsid w:val="008614D4"/>
    <w:rsid w:val="00863994"/>
    <w:rsid w:val="00867077"/>
    <w:rsid w:val="008700D7"/>
    <w:rsid w:val="00870610"/>
    <w:rsid w:val="00874B4F"/>
    <w:rsid w:val="00874FF1"/>
    <w:rsid w:val="00875487"/>
    <w:rsid w:val="00881519"/>
    <w:rsid w:val="008827D3"/>
    <w:rsid w:val="00884E99"/>
    <w:rsid w:val="00886FD6"/>
    <w:rsid w:val="008978F5"/>
    <w:rsid w:val="008A1479"/>
    <w:rsid w:val="008B0A70"/>
    <w:rsid w:val="008B0D3C"/>
    <w:rsid w:val="008C710D"/>
    <w:rsid w:val="008D0430"/>
    <w:rsid w:val="008D082B"/>
    <w:rsid w:val="008D0CA6"/>
    <w:rsid w:val="008D16B2"/>
    <w:rsid w:val="008D4E82"/>
    <w:rsid w:val="008E003C"/>
    <w:rsid w:val="0090190A"/>
    <w:rsid w:val="00912047"/>
    <w:rsid w:val="009144D0"/>
    <w:rsid w:val="009159B3"/>
    <w:rsid w:val="00916D52"/>
    <w:rsid w:val="00922C03"/>
    <w:rsid w:val="00924552"/>
    <w:rsid w:val="00926F50"/>
    <w:rsid w:val="0093014A"/>
    <w:rsid w:val="00935921"/>
    <w:rsid w:val="009361CA"/>
    <w:rsid w:val="009458CE"/>
    <w:rsid w:val="00957526"/>
    <w:rsid w:val="00961C52"/>
    <w:rsid w:val="009654A6"/>
    <w:rsid w:val="00967BF5"/>
    <w:rsid w:val="00975DF9"/>
    <w:rsid w:val="00977055"/>
    <w:rsid w:val="009857F6"/>
    <w:rsid w:val="00991448"/>
    <w:rsid w:val="009A1DFF"/>
    <w:rsid w:val="009A284B"/>
    <w:rsid w:val="009A59C5"/>
    <w:rsid w:val="009B2535"/>
    <w:rsid w:val="009B4D66"/>
    <w:rsid w:val="009B5A97"/>
    <w:rsid w:val="009C756E"/>
    <w:rsid w:val="009D37AD"/>
    <w:rsid w:val="009D751D"/>
    <w:rsid w:val="009E4D8D"/>
    <w:rsid w:val="009E7C1E"/>
    <w:rsid w:val="009F03E9"/>
    <w:rsid w:val="009F1CDA"/>
    <w:rsid w:val="009F46E1"/>
    <w:rsid w:val="009F5DA7"/>
    <w:rsid w:val="009F7EC1"/>
    <w:rsid w:val="00A05A18"/>
    <w:rsid w:val="00A20545"/>
    <w:rsid w:val="00A246B2"/>
    <w:rsid w:val="00A324B9"/>
    <w:rsid w:val="00A32580"/>
    <w:rsid w:val="00A410F7"/>
    <w:rsid w:val="00A42F45"/>
    <w:rsid w:val="00A43473"/>
    <w:rsid w:val="00A45168"/>
    <w:rsid w:val="00A55BCA"/>
    <w:rsid w:val="00A60D04"/>
    <w:rsid w:val="00A64354"/>
    <w:rsid w:val="00A6644A"/>
    <w:rsid w:val="00A669FC"/>
    <w:rsid w:val="00A670DD"/>
    <w:rsid w:val="00A71489"/>
    <w:rsid w:val="00A8143A"/>
    <w:rsid w:val="00A8447B"/>
    <w:rsid w:val="00A85D25"/>
    <w:rsid w:val="00A955E7"/>
    <w:rsid w:val="00A97F66"/>
    <w:rsid w:val="00AB05A6"/>
    <w:rsid w:val="00AB3586"/>
    <w:rsid w:val="00AB4FDA"/>
    <w:rsid w:val="00AB5143"/>
    <w:rsid w:val="00AC485C"/>
    <w:rsid w:val="00AC5326"/>
    <w:rsid w:val="00AC6EB0"/>
    <w:rsid w:val="00AE2D91"/>
    <w:rsid w:val="00AE3686"/>
    <w:rsid w:val="00AF1445"/>
    <w:rsid w:val="00AF436B"/>
    <w:rsid w:val="00B079B1"/>
    <w:rsid w:val="00B1306A"/>
    <w:rsid w:val="00B163D4"/>
    <w:rsid w:val="00B16C82"/>
    <w:rsid w:val="00B30217"/>
    <w:rsid w:val="00B3633A"/>
    <w:rsid w:val="00B36436"/>
    <w:rsid w:val="00B4256F"/>
    <w:rsid w:val="00B42DA0"/>
    <w:rsid w:val="00B46445"/>
    <w:rsid w:val="00B47C43"/>
    <w:rsid w:val="00B53206"/>
    <w:rsid w:val="00B60E10"/>
    <w:rsid w:val="00B677B6"/>
    <w:rsid w:val="00B7600D"/>
    <w:rsid w:val="00B84D96"/>
    <w:rsid w:val="00B85C83"/>
    <w:rsid w:val="00B8679C"/>
    <w:rsid w:val="00B92E2F"/>
    <w:rsid w:val="00B94F41"/>
    <w:rsid w:val="00B978B5"/>
    <w:rsid w:val="00BA1407"/>
    <w:rsid w:val="00BA4491"/>
    <w:rsid w:val="00BB003E"/>
    <w:rsid w:val="00BB6D26"/>
    <w:rsid w:val="00BC33F2"/>
    <w:rsid w:val="00BC37F8"/>
    <w:rsid w:val="00BD0C4E"/>
    <w:rsid w:val="00BE2B6F"/>
    <w:rsid w:val="00BE4803"/>
    <w:rsid w:val="00BE5766"/>
    <w:rsid w:val="00BF2BF5"/>
    <w:rsid w:val="00BF3872"/>
    <w:rsid w:val="00C02A8C"/>
    <w:rsid w:val="00C02AFB"/>
    <w:rsid w:val="00C13ECB"/>
    <w:rsid w:val="00C26FD5"/>
    <w:rsid w:val="00C4188E"/>
    <w:rsid w:val="00C42F7B"/>
    <w:rsid w:val="00C436B9"/>
    <w:rsid w:val="00C505E4"/>
    <w:rsid w:val="00C60222"/>
    <w:rsid w:val="00C738F3"/>
    <w:rsid w:val="00C85F03"/>
    <w:rsid w:val="00C9058A"/>
    <w:rsid w:val="00CA1830"/>
    <w:rsid w:val="00CA183E"/>
    <w:rsid w:val="00CA78FA"/>
    <w:rsid w:val="00CC4277"/>
    <w:rsid w:val="00CD0C74"/>
    <w:rsid w:val="00CD1C4E"/>
    <w:rsid w:val="00CD1E7F"/>
    <w:rsid w:val="00CD249B"/>
    <w:rsid w:val="00CD2AEC"/>
    <w:rsid w:val="00CD562F"/>
    <w:rsid w:val="00CE4436"/>
    <w:rsid w:val="00CE6E37"/>
    <w:rsid w:val="00CF6766"/>
    <w:rsid w:val="00CF70FF"/>
    <w:rsid w:val="00D02C43"/>
    <w:rsid w:val="00D02C86"/>
    <w:rsid w:val="00D112B1"/>
    <w:rsid w:val="00D12199"/>
    <w:rsid w:val="00D17D85"/>
    <w:rsid w:val="00D33C86"/>
    <w:rsid w:val="00D37548"/>
    <w:rsid w:val="00D4299B"/>
    <w:rsid w:val="00D43872"/>
    <w:rsid w:val="00D46ACA"/>
    <w:rsid w:val="00D64178"/>
    <w:rsid w:val="00D659BA"/>
    <w:rsid w:val="00D674C9"/>
    <w:rsid w:val="00D72053"/>
    <w:rsid w:val="00D72896"/>
    <w:rsid w:val="00D74216"/>
    <w:rsid w:val="00DA7713"/>
    <w:rsid w:val="00DB0C22"/>
    <w:rsid w:val="00DB771F"/>
    <w:rsid w:val="00DC2778"/>
    <w:rsid w:val="00DD0C05"/>
    <w:rsid w:val="00DD6302"/>
    <w:rsid w:val="00DD791A"/>
    <w:rsid w:val="00DE2988"/>
    <w:rsid w:val="00DE6DCB"/>
    <w:rsid w:val="00DF2D78"/>
    <w:rsid w:val="00E00246"/>
    <w:rsid w:val="00E008F1"/>
    <w:rsid w:val="00E05BDB"/>
    <w:rsid w:val="00E063EC"/>
    <w:rsid w:val="00E31CD7"/>
    <w:rsid w:val="00E32175"/>
    <w:rsid w:val="00E3789D"/>
    <w:rsid w:val="00E45649"/>
    <w:rsid w:val="00E46171"/>
    <w:rsid w:val="00E529EF"/>
    <w:rsid w:val="00E5306B"/>
    <w:rsid w:val="00E54C07"/>
    <w:rsid w:val="00E55DE3"/>
    <w:rsid w:val="00E6750F"/>
    <w:rsid w:val="00E74679"/>
    <w:rsid w:val="00E774E4"/>
    <w:rsid w:val="00E82159"/>
    <w:rsid w:val="00E947ED"/>
    <w:rsid w:val="00E96893"/>
    <w:rsid w:val="00EA2486"/>
    <w:rsid w:val="00EB53A0"/>
    <w:rsid w:val="00EC7590"/>
    <w:rsid w:val="00ED1668"/>
    <w:rsid w:val="00ED3699"/>
    <w:rsid w:val="00EE1977"/>
    <w:rsid w:val="00EE32EF"/>
    <w:rsid w:val="00EE43D3"/>
    <w:rsid w:val="00EE5F0E"/>
    <w:rsid w:val="00EE717A"/>
    <w:rsid w:val="00EF0C84"/>
    <w:rsid w:val="00EF24DB"/>
    <w:rsid w:val="00EF435E"/>
    <w:rsid w:val="00EF4451"/>
    <w:rsid w:val="00F10B2F"/>
    <w:rsid w:val="00F13346"/>
    <w:rsid w:val="00F22E72"/>
    <w:rsid w:val="00F407C7"/>
    <w:rsid w:val="00F44A1C"/>
    <w:rsid w:val="00F47653"/>
    <w:rsid w:val="00F52A3C"/>
    <w:rsid w:val="00F55A79"/>
    <w:rsid w:val="00F61C0D"/>
    <w:rsid w:val="00F64B9A"/>
    <w:rsid w:val="00F72697"/>
    <w:rsid w:val="00F77445"/>
    <w:rsid w:val="00F9271D"/>
    <w:rsid w:val="00FA4230"/>
    <w:rsid w:val="00FA5BB2"/>
    <w:rsid w:val="00FE348F"/>
    <w:rsid w:val="00FE3E6F"/>
    <w:rsid w:val="00FF24E7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75E0C"/>
  <w15:docId w15:val="{4FDB5CA4-7E9E-45C3-9F4D-C430C5F1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F9"/>
  </w:style>
  <w:style w:type="paragraph" w:styleId="Footer">
    <w:name w:val="footer"/>
    <w:basedOn w:val="Normal"/>
    <w:link w:val="FooterChar"/>
    <w:uiPriority w:val="99"/>
    <w:unhideWhenUsed/>
    <w:rsid w:val="001D7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F9"/>
  </w:style>
  <w:style w:type="table" w:styleId="TableGrid">
    <w:name w:val="Table Grid"/>
    <w:basedOn w:val="TableNormal"/>
    <w:uiPriority w:val="59"/>
    <w:rsid w:val="00A5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E3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34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1C23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orthamptonshirechildcare.proceduresonline.com/p_allocation_work.html?zoom_highlight=closu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65cb4349a7ded0000c79e4e1/Working_together_to_safeguard_children_2023_-_statutory_guidanc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orthamptonshirechildcare.proceduresonline.com/p_allocation_work.html?zoom_highlight=closur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media/65cb4349a7ded0000c79e4e1/Working_together_to_safeguard_children_2023_-_statutory_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0458E4A93A243A0CA32E0EEE2E845" ma:contentTypeVersion="5" ma:contentTypeDescription="Create a new document." ma:contentTypeScope="" ma:versionID="7dd802b538e6bf972c89b92b30b0cc51">
  <xsd:schema xmlns:xsd="http://www.w3.org/2001/XMLSchema" xmlns:p="http://schemas.microsoft.com/office/2006/metadata/properties" xmlns:ns3="1fba45dd-982d-4859-a0d9-77cca942c747" targetNamespace="http://schemas.microsoft.com/office/2006/metadata/properties" ma:root="true" ma:fieldsID="e62ca3c748bd3676f6145fec24de706f" ns3:_="">
    <xsd:import namespace="1fba45dd-982d-4859-a0d9-77cca942c747"/>
    <xsd:element name="properties">
      <xsd:complexType>
        <xsd:sequence>
          <xsd:element name="documentManagement">
            <xsd:complexType>
              <xsd:all>
                <xsd:element ref="ns3:MeetingDocType"/>
                <xsd:element ref="ns3:Financial_x0020_Year" minOccurs="0"/>
                <xsd:element ref="ns3:Date_x0020_of_x0020_committee_x002f_meet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fba45dd-982d-4859-a0d9-77cca942c747" elementFormDefault="qualified">
    <xsd:import namespace="http://schemas.microsoft.com/office/2006/documentManagement/types"/>
    <xsd:element name="MeetingDocType" ma:index="9" ma:displayName="MeetingDocType" ma:default="Action Log, Forward Plan, Signature Sheet" ma:format="Dropdown" ma:internalName="MeetingDocType">
      <xsd:simpleType>
        <xsd:restriction base="dms:Choice">
          <xsd:enumeration value="Action Log, Forward Plan, Signature Sheet"/>
          <xsd:enumeration value="Hospitality/Venue Forms"/>
          <xsd:enumeration value="Meeting Papers"/>
          <xsd:enumeration value="Papers - Other"/>
          <xsd:enumeration value="Specific Meeting Templates"/>
        </xsd:restriction>
      </xsd:simpleType>
    </xsd:element>
    <xsd:element name="Financial_x0020_Year" ma:index="10" nillable="true" ma:displayName="Financial Year" ma:format="Dropdown" ma:internalName="Financial_x0020_Year">
      <xsd:simpleType>
        <xsd:union memberTypes="dms:Text">
          <xsd:simpleType>
            <xsd:restriction base="dms:Choice">
              <xsd:enumeration value="2004-05"/>
              <xsd:enumeration value="2005-06"/>
              <xsd:enumeration value="2006-07"/>
              <xsd:enumeration value="2007-08"/>
              <xsd:enumeration value="2008-09"/>
              <xsd:enumeration value="2009-10"/>
              <xsd:enumeration value="2010-11"/>
              <xsd:enumeration value="2011-12"/>
              <xsd:enumeration value="2012-13"/>
              <xsd:enumeration value="2013-14"/>
              <xsd:enumeration value="2014-15"/>
              <xsd:enumeration value="2015-16"/>
              <xsd:enumeration value="2016-17"/>
              <xsd:enumeration value="2017-18"/>
              <xsd:enumeration value="2018-19"/>
              <xsd:enumeration value="2019-20"/>
              <xsd:enumeration value="2020-21"/>
              <xsd:enumeration value="2021-22"/>
              <xsd:enumeration value="2022-23"/>
            </xsd:restriction>
          </xsd:simpleType>
        </xsd:union>
      </xsd:simpleType>
    </xsd:element>
    <xsd:element name="Date_x0020_of_x0020_committee_x002f_meeting" ma:index="11" nillable="true" ma:displayName="Date of Sub Group" ma:format="DateOnly" ma:internalName="Date_x0020_of_x0020_committee_x002F_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inancial_x0020_Year xmlns="1fba45dd-982d-4859-a0d9-77cca942c747" xsi:nil="true"/>
    <Date_x0020_of_x0020_committee_x002f_meeting xmlns="1fba45dd-982d-4859-a0d9-77cca942c747">2021-06-02T23:00:00+00:00</Date_x0020_of_x0020_committee_x002f_meeting>
    <MeetingDocType xmlns="1fba45dd-982d-4859-a0d9-77cca942c747">Meeting Papers</MeetingDoc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2938F-232E-4B3E-B06E-DFB469620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a45dd-982d-4859-a0d9-77cca942c7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9FEDBD5-5C8D-4B2D-9366-5CCCAFAE122C}">
  <ds:schemaRefs>
    <ds:schemaRef ds:uri="http://schemas.microsoft.com/office/2006/metadata/properties"/>
    <ds:schemaRef ds:uri="1fba45dd-982d-4859-a0d9-77cca942c747"/>
  </ds:schemaRefs>
</ds:datastoreItem>
</file>

<file path=customXml/itemProps3.xml><?xml version="1.0" encoding="utf-8"?>
<ds:datastoreItem xmlns:ds="http://schemas.openxmlformats.org/officeDocument/2006/customXml" ds:itemID="{68373059-F346-45F0-A28D-97A3A21334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CC67B-FB46-433D-9445-B70D0866A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 Step Briefing</vt:lpstr>
    </vt:vector>
  </TitlesOfParts>
  <Company>Northamptonshire County Council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Step Briefing</dc:title>
  <dc:creator>ageorge</dc:creator>
  <cp:lastModifiedBy>Maxine Clark</cp:lastModifiedBy>
  <cp:revision>2</cp:revision>
  <cp:lastPrinted>2016-03-16T07:54:00Z</cp:lastPrinted>
  <dcterms:created xsi:type="dcterms:W3CDTF">2024-06-03T13:58:00Z</dcterms:created>
  <dcterms:modified xsi:type="dcterms:W3CDTF">2024-06-03T13:58:00Z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0x01010008D0458E4A93A243A0CA32E0EEE2E845</vt:lpwstr>
  </property>
  <property fmtid="{D5CDD505-2E9C-101B-9397-08002B2CF9AE}" pid="3" name="CM Doc Type">
    <vt:lpwstr>Other</vt:lpwstr>
  </property>
  <property fmtid="{D5CDD505-2E9C-101B-9397-08002B2CF9AE}" pid="4" name="Case Name">
    <vt:lpwstr>Kirsty Williams</vt:lpwstr>
  </property>
  <property fmtid="{D5CDD505-2E9C-101B-9397-08002B2CF9AE}" pid="5" name="Order">
    <vt:r8>40700</vt:r8>
  </property>
  <property fmtid="{D5CDD505-2E9C-101B-9397-08002B2CF9AE}" pid="6" name="Template Type">
    <vt:lpwstr>Reviews</vt:lpwstr>
  </property>
</Properties>
</file>