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7967" w14:textId="4B19152E" w:rsidR="00D72179" w:rsidRDefault="003215AD">
      <w:r>
        <w:rPr>
          <w:noProof/>
        </w:rPr>
        <w:drawing>
          <wp:inline distT="0" distB="0" distL="0" distR="0" wp14:anchorId="68A252C5" wp14:editId="646C7691">
            <wp:extent cx="2000250" cy="11389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04108" cy="1141115"/>
                    </a:xfrm>
                    <a:prstGeom prst="rect">
                      <a:avLst/>
                    </a:prstGeom>
                  </pic:spPr>
                </pic:pic>
              </a:graphicData>
            </a:graphic>
          </wp:inline>
        </w:drawing>
      </w:r>
      <w:r w:rsidR="000756CD">
        <w:t xml:space="preserve"> </w:t>
      </w:r>
      <w:r w:rsidR="000756CD">
        <w:rPr>
          <w:noProof/>
        </w:rPr>
        <w:drawing>
          <wp:inline distT="0" distB="0" distL="0" distR="0" wp14:anchorId="0C08AF48" wp14:editId="47157524">
            <wp:extent cx="2270449" cy="1088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361" cy="1104646"/>
                    </a:xfrm>
                    <a:prstGeom prst="rect">
                      <a:avLst/>
                    </a:prstGeom>
                    <a:noFill/>
                    <a:ln>
                      <a:noFill/>
                    </a:ln>
                  </pic:spPr>
                </pic:pic>
              </a:graphicData>
            </a:graphic>
          </wp:inline>
        </w:drawing>
      </w:r>
      <w:r w:rsidR="000756CD">
        <w:t xml:space="preserve">   </w:t>
      </w:r>
      <w:r w:rsidR="000756CD" w:rsidRPr="003215AD">
        <w:rPr>
          <w:noProof/>
        </w:rPr>
        <w:drawing>
          <wp:inline distT="0" distB="0" distL="0" distR="0" wp14:anchorId="1C4E68C5" wp14:editId="446D6F5A">
            <wp:extent cx="1312024" cy="15519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582" cy="1565611"/>
                    </a:xfrm>
                    <a:prstGeom prst="rect">
                      <a:avLst/>
                    </a:prstGeom>
                  </pic:spPr>
                </pic:pic>
              </a:graphicData>
            </a:graphic>
          </wp:inline>
        </w:drawing>
      </w:r>
      <w:r w:rsidR="000756CD">
        <w:t xml:space="preserve">                                                              </w:t>
      </w:r>
    </w:p>
    <w:p w14:paraId="6A7E1004" w14:textId="0212DB64" w:rsidR="003215AD" w:rsidRDefault="003215AD"/>
    <w:p w14:paraId="0DEB5982" w14:textId="18D57745" w:rsidR="003215AD" w:rsidRDefault="003215AD"/>
    <w:p w14:paraId="1A55EAB7" w14:textId="50EF8A2C" w:rsidR="003215AD" w:rsidRDefault="003215AD" w:rsidP="003215AD">
      <w:pPr>
        <w:jc w:val="center"/>
        <w:rPr>
          <w:rFonts w:ascii="Arial" w:hAnsi="Arial" w:cs="Arial"/>
          <w:b/>
          <w:bCs/>
          <w:sz w:val="28"/>
          <w:szCs w:val="28"/>
          <w:u w:val="single"/>
        </w:rPr>
      </w:pPr>
      <w:r w:rsidRPr="003215AD">
        <w:rPr>
          <w:rFonts w:ascii="Arial" w:hAnsi="Arial" w:cs="Arial"/>
          <w:b/>
          <w:bCs/>
          <w:sz w:val="28"/>
          <w:szCs w:val="28"/>
          <w:u w:val="single"/>
        </w:rPr>
        <w:t>Pathfinder Good Practice Guidance: Determining whether Cafcass or a Local Authority should prepare a Child Impact Report</w:t>
      </w:r>
    </w:p>
    <w:p w14:paraId="10949EC4" w14:textId="682A55B1" w:rsidR="003215AD" w:rsidRDefault="003215AD" w:rsidP="003215AD">
      <w:pPr>
        <w:jc w:val="center"/>
        <w:rPr>
          <w:rFonts w:ascii="Arial" w:hAnsi="Arial" w:cs="Arial"/>
          <w:b/>
          <w:bCs/>
          <w:sz w:val="28"/>
          <w:szCs w:val="28"/>
          <w:u w:val="single"/>
        </w:rPr>
      </w:pPr>
    </w:p>
    <w:p w14:paraId="3B265BD1" w14:textId="795D427C" w:rsidR="009D28EB" w:rsidRPr="009D28EB" w:rsidRDefault="009D28EB" w:rsidP="009D28EB">
      <w:pPr>
        <w:rPr>
          <w:rFonts w:ascii="Arial" w:hAnsi="Arial" w:cs="Arial"/>
          <w:b/>
          <w:bCs/>
          <w:sz w:val="24"/>
          <w:szCs w:val="24"/>
          <w:u w:val="single"/>
        </w:rPr>
      </w:pPr>
      <w:r w:rsidRPr="009D28EB">
        <w:rPr>
          <w:rFonts w:ascii="Arial" w:hAnsi="Arial" w:cs="Arial"/>
          <w:b/>
          <w:bCs/>
          <w:sz w:val="24"/>
          <w:szCs w:val="24"/>
          <w:u w:val="single"/>
        </w:rPr>
        <w:t>Current Arrangements</w:t>
      </w:r>
    </w:p>
    <w:p w14:paraId="5934C894" w14:textId="3F04250D" w:rsidR="003215AD" w:rsidRDefault="003215AD" w:rsidP="00531C93">
      <w:pPr>
        <w:jc w:val="both"/>
        <w:rPr>
          <w:rFonts w:ascii="Arial" w:hAnsi="Arial" w:cs="Arial"/>
          <w:sz w:val="24"/>
          <w:szCs w:val="24"/>
        </w:rPr>
      </w:pPr>
      <w:r>
        <w:rPr>
          <w:rFonts w:ascii="Arial" w:hAnsi="Arial" w:cs="Arial"/>
          <w:sz w:val="24"/>
          <w:szCs w:val="24"/>
        </w:rPr>
        <w:t xml:space="preserve">Under S7 of the Children Act 1989, courts dealing with private law proceedings can direct either Cafcass or a Local Authority to report on the Welfare of a child/ren. </w:t>
      </w:r>
    </w:p>
    <w:p w14:paraId="1D57B284" w14:textId="429159DB" w:rsidR="003215AD" w:rsidRDefault="003215AD" w:rsidP="00531C93">
      <w:pPr>
        <w:jc w:val="both"/>
        <w:rPr>
          <w:rFonts w:ascii="Arial" w:hAnsi="Arial" w:cs="Arial"/>
          <w:sz w:val="24"/>
          <w:szCs w:val="24"/>
        </w:rPr>
      </w:pPr>
      <w:r>
        <w:rPr>
          <w:rFonts w:ascii="Arial" w:hAnsi="Arial" w:cs="Arial"/>
          <w:sz w:val="24"/>
          <w:szCs w:val="24"/>
        </w:rPr>
        <w:t xml:space="preserve">Within the Pathfinder Pilot a Child Impact Report will be filed, replacing the traditional Safeguarding Letter and S7 Reports commonly seen in private law proceedings. </w:t>
      </w:r>
    </w:p>
    <w:p w14:paraId="5D3108B7" w14:textId="7E10E9CA" w:rsidR="0090199A" w:rsidRDefault="0090199A" w:rsidP="00531C93">
      <w:pPr>
        <w:jc w:val="both"/>
        <w:rPr>
          <w:rFonts w:ascii="Arial" w:hAnsi="Arial" w:cs="Arial"/>
          <w:sz w:val="24"/>
          <w:szCs w:val="24"/>
        </w:rPr>
      </w:pPr>
      <w:r>
        <w:rPr>
          <w:rFonts w:ascii="Arial" w:hAnsi="Arial" w:cs="Arial"/>
          <w:sz w:val="24"/>
          <w:szCs w:val="24"/>
        </w:rPr>
        <w:t xml:space="preserve">All private law applications received by courts in Dorset will be subject to an initial Gatekeeping process. Within this process the court will decide whether an application should come to Cafcass for Part One of the Child Impact Report to commence. The initial stages of Part One of the Child Impact Report is safeguarding checks with both the Police and the Local Authority. </w:t>
      </w:r>
    </w:p>
    <w:p w14:paraId="69E5F1C7" w14:textId="3D138190" w:rsidR="0090199A" w:rsidRDefault="0090199A" w:rsidP="00531C93">
      <w:pPr>
        <w:jc w:val="both"/>
        <w:rPr>
          <w:rFonts w:ascii="Arial" w:hAnsi="Arial" w:cs="Arial"/>
          <w:sz w:val="24"/>
          <w:szCs w:val="24"/>
        </w:rPr>
      </w:pPr>
      <w:r>
        <w:rPr>
          <w:rFonts w:ascii="Arial" w:hAnsi="Arial" w:cs="Arial"/>
          <w:sz w:val="24"/>
          <w:szCs w:val="24"/>
        </w:rPr>
        <w:t xml:space="preserve">Within these checks, information from the Local Authority may show that the child/ren are known to the Local Authority and in such cases a decision will need to be made as to whether Cafcass or the Local Authority are best placed to continue with the remainder of the Child Impact Assessment. </w:t>
      </w:r>
    </w:p>
    <w:p w14:paraId="305E3845" w14:textId="702955FE" w:rsidR="0090199A" w:rsidRDefault="0090199A" w:rsidP="00531C93">
      <w:pPr>
        <w:jc w:val="both"/>
        <w:rPr>
          <w:rFonts w:ascii="Arial" w:hAnsi="Arial" w:cs="Arial"/>
          <w:sz w:val="24"/>
          <w:szCs w:val="24"/>
        </w:rPr>
      </w:pPr>
      <w:r>
        <w:rPr>
          <w:rFonts w:ascii="Arial" w:hAnsi="Arial" w:cs="Arial"/>
          <w:sz w:val="24"/>
          <w:szCs w:val="24"/>
        </w:rPr>
        <w:t>There is a Protocol for allocating responsibilities for court reporting in private law children</w:t>
      </w:r>
      <w:r w:rsidR="00B466EF">
        <w:rPr>
          <w:rFonts w:ascii="Arial" w:hAnsi="Arial" w:cs="Arial"/>
          <w:sz w:val="24"/>
          <w:szCs w:val="24"/>
        </w:rPr>
        <w:t>’s</w:t>
      </w:r>
      <w:r>
        <w:rPr>
          <w:rFonts w:ascii="Arial" w:hAnsi="Arial" w:cs="Arial"/>
          <w:sz w:val="24"/>
          <w:szCs w:val="24"/>
        </w:rPr>
        <w:t xml:space="preserve"> proceedings between Cafcass and Local Authority Children’s Services between the ADCS and Cafcass already in existence. This Protocol is clear about the criteria which would need to be met for the responsibility of the Child Impact Report to fall to the Local Authority</w:t>
      </w:r>
      <w:r w:rsidR="00EB7363">
        <w:rPr>
          <w:rFonts w:ascii="Arial" w:hAnsi="Arial" w:cs="Arial"/>
          <w:sz w:val="24"/>
          <w:szCs w:val="24"/>
        </w:rPr>
        <w:t>:</w:t>
      </w:r>
    </w:p>
    <w:p w14:paraId="678BB0A1" w14:textId="1F6C5BFF" w:rsidR="008209C6" w:rsidRDefault="00EB7363" w:rsidP="00B466EF">
      <w:pPr>
        <w:pStyle w:val="ListParagraph"/>
        <w:numPr>
          <w:ilvl w:val="0"/>
          <w:numId w:val="4"/>
        </w:numPr>
        <w:spacing w:before="240" w:after="0" w:line="240" w:lineRule="auto"/>
        <w:jc w:val="both"/>
        <w:rPr>
          <w:rFonts w:ascii="Arial" w:hAnsi="Arial" w:cs="Arial"/>
          <w:b/>
          <w:bCs/>
          <w:sz w:val="24"/>
          <w:szCs w:val="24"/>
        </w:rPr>
      </w:pPr>
      <w:r w:rsidRPr="00687EA8">
        <w:rPr>
          <w:rFonts w:ascii="Arial" w:hAnsi="Arial" w:cs="Arial"/>
          <w:b/>
          <w:bCs/>
          <w:sz w:val="24"/>
          <w:szCs w:val="24"/>
        </w:rPr>
        <w:t xml:space="preserve">The child </w:t>
      </w:r>
      <w:r w:rsidR="003D4229" w:rsidRPr="00687EA8">
        <w:rPr>
          <w:rFonts w:ascii="Arial" w:hAnsi="Arial" w:cs="Arial"/>
          <w:b/>
          <w:bCs/>
          <w:sz w:val="24"/>
          <w:szCs w:val="24"/>
        </w:rPr>
        <w:t>has an</w:t>
      </w:r>
      <w:r w:rsidRPr="00687EA8">
        <w:rPr>
          <w:rFonts w:ascii="Arial" w:hAnsi="Arial" w:cs="Arial"/>
          <w:b/>
          <w:bCs/>
          <w:sz w:val="24"/>
          <w:szCs w:val="24"/>
        </w:rPr>
        <w:t xml:space="preserve"> open case</w:t>
      </w:r>
      <w:r w:rsidR="0068402C" w:rsidRPr="00687EA8">
        <w:rPr>
          <w:rFonts w:ascii="Arial" w:hAnsi="Arial" w:cs="Arial"/>
          <w:b/>
          <w:bCs/>
          <w:sz w:val="24"/>
          <w:szCs w:val="24"/>
        </w:rPr>
        <w:t xml:space="preserve"> to statutory services</w:t>
      </w:r>
      <w:r w:rsidR="00932D7E">
        <w:rPr>
          <w:rFonts w:ascii="Arial" w:hAnsi="Arial" w:cs="Arial"/>
          <w:b/>
          <w:bCs/>
          <w:sz w:val="24"/>
          <w:szCs w:val="24"/>
        </w:rPr>
        <w:t>.</w:t>
      </w:r>
    </w:p>
    <w:p w14:paraId="7A174232" w14:textId="77777777" w:rsidR="00B466EF" w:rsidRDefault="00B466EF" w:rsidP="00B466EF">
      <w:pPr>
        <w:pStyle w:val="ListParagraph"/>
        <w:spacing w:before="240" w:after="0" w:line="240" w:lineRule="auto"/>
        <w:ind w:left="1080"/>
        <w:jc w:val="both"/>
        <w:rPr>
          <w:rFonts w:ascii="Arial" w:hAnsi="Arial" w:cs="Arial"/>
          <w:sz w:val="24"/>
          <w:szCs w:val="24"/>
        </w:rPr>
      </w:pPr>
    </w:p>
    <w:p w14:paraId="6DB83B98" w14:textId="0FBEA27D" w:rsidR="00EB7363" w:rsidRPr="0068402C" w:rsidRDefault="00EB7363" w:rsidP="008209C6">
      <w:pPr>
        <w:pStyle w:val="ListParagraph"/>
        <w:numPr>
          <w:ilvl w:val="1"/>
          <w:numId w:val="1"/>
        </w:numPr>
        <w:spacing w:before="240" w:after="0" w:line="240" w:lineRule="auto"/>
        <w:jc w:val="both"/>
        <w:rPr>
          <w:rFonts w:ascii="Arial" w:hAnsi="Arial" w:cs="Arial"/>
          <w:sz w:val="24"/>
          <w:szCs w:val="24"/>
        </w:rPr>
      </w:pPr>
      <w:r w:rsidRPr="0068402C">
        <w:rPr>
          <w:rFonts w:ascii="Arial" w:hAnsi="Arial" w:cs="Arial"/>
          <w:sz w:val="24"/>
          <w:szCs w:val="24"/>
        </w:rPr>
        <w:t xml:space="preserve">The child </w:t>
      </w:r>
      <w:r w:rsidR="00570C33">
        <w:rPr>
          <w:rFonts w:ascii="Arial" w:hAnsi="Arial" w:cs="Arial"/>
          <w:sz w:val="24"/>
          <w:szCs w:val="24"/>
        </w:rPr>
        <w:t xml:space="preserve">has a Child </w:t>
      </w:r>
      <w:r w:rsidR="00932D7E">
        <w:rPr>
          <w:rFonts w:ascii="Arial" w:hAnsi="Arial" w:cs="Arial"/>
          <w:sz w:val="24"/>
          <w:szCs w:val="24"/>
        </w:rPr>
        <w:t>i</w:t>
      </w:r>
      <w:r w:rsidR="00570C33">
        <w:rPr>
          <w:rFonts w:ascii="Arial" w:hAnsi="Arial" w:cs="Arial"/>
          <w:sz w:val="24"/>
          <w:szCs w:val="24"/>
        </w:rPr>
        <w:t xml:space="preserve">n Need Plan, Child Protection Plan or is looked after by the Local Authority. </w:t>
      </w:r>
      <w:r w:rsidRPr="0068402C">
        <w:rPr>
          <w:rFonts w:ascii="Arial" w:hAnsi="Arial" w:cs="Arial"/>
          <w:sz w:val="24"/>
          <w:szCs w:val="24"/>
        </w:rPr>
        <w:t xml:space="preserve"> </w:t>
      </w:r>
    </w:p>
    <w:p w14:paraId="4FD322A4" w14:textId="5E90CA26" w:rsidR="00EB7363" w:rsidRDefault="00EB7363" w:rsidP="008209C6">
      <w:pPr>
        <w:pStyle w:val="ListParagraph"/>
        <w:numPr>
          <w:ilvl w:val="1"/>
          <w:numId w:val="1"/>
        </w:numPr>
        <w:spacing w:before="240" w:after="0" w:line="240" w:lineRule="auto"/>
        <w:jc w:val="both"/>
        <w:rPr>
          <w:rFonts w:ascii="Arial" w:hAnsi="Arial" w:cs="Arial"/>
          <w:sz w:val="24"/>
          <w:szCs w:val="24"/>
        </w:rPr>
      </w:pPr>
      <w:r w:rsidRPr="00111D16">
        <w:rPr>
          <w:rFonts w:ascii="Arial" w:hAnsi="Arial" w:cs="Arial"/>
          <w:sz w:val="24"/>
          <w:szCs w:val="24"/>
        </w:rPr>
        <w:t>There is an ongoing L</w:t>
      </w:r>
      <w:r w:rsidR="006F7B7C">
        <w:rPr>
          <w:rFonts w:ascii="Arial" w:hAnsi="Arial" w:cs="Arial"/>
          <w:sz w:val="24"/>
          <w:szCs w:val="24"/>
        </w:rPr>
        <w:t xml:space="preserve">ocal </w:t>
      </w:r>
      <w:r w:rsidRPr="00111D16">
        <w:rPr>
          <w:rFonts w:ascii="Arial" w:hAnsi="Arial" w:cs="Arial"/>
          <w:sz w:val="24"/>
          <w:szCs w:val="24"/>
        </w:rPr>
        <w:t>A</w:t>
      </w:r>
      <w:r w:rsidR="006F7B7C">
        <w:rPr>
          <w:rFonts w:ascii="Arial" w:hAnsi="Arial" w:cs="Arial"/>
          <w:sz w:val="24"/>
          <w:szCs w:val="24"/>
        </w:rPr>
        <w:t>uthority</w:t>
      </w:r>
      <w:r w:rsidRPr="00111D16">
        <w:rPr>
          <w:rFonts w:ascii="Arial" w:hAnsi="Arial" w:cs="Arial"/>
          <w:sz w:val="24"/>
          <w:szCs w:val="24"/>
        </w:rPr>
        <w:t xml:space="preserve"> investigation following a referral</w:t>
      </w:r>
      <w:r w:rsidR="006F7B7C">
        <w:rPr>
          <w:rFonts w:ascii="Arial" w:hAnsi="Arial" w:cs="Arial"/>
          <w:sz w:val="24"/>
          <w:szCs w:val="24"/>
        </w:rPr>
        <w:t xml:space="preserve"> for the child</w:t>
      </w:r>
      <w:r w:rsidRPr="00111D16">
        <w:rPr>
          <w:rFonts w:ascii="Arial" w:hAnsi="Arial" w:cs="Arial"/>
          <w:sz w:val="24"/>
          <w:szCs w:val="24"/>
        </w:rPr>
        <w:t xml:space="preserve"> which will result in ongoing wor</w:t>
      </w:r>
      <w:r>
        <w:rPr>
          <w:rFonts w:ascii="Arial" w:hAnsi="Arial" w:cs="Arial"/>
          <w:sz w:val="24"/>
          <w:szCs w:val="24"/>
        </w:rPr>
        <w:t>k for the L</w:t>
      </w:r>
      <w:r w:rsidR="006F7B7C">
        <w:rPr>
          <w:rFonts w:ascii="Arial" w:hAnsi="Arial" w:cs="Arial"/>
          <w:sz w:val="24"/>
          <w:szCs w:val="24"/>
        </w:rPr>
        <w:t xml:space="preserve">ocal </w:t>
      </w:r>
      <w:r>
        <w:rPr>
          <w:rFonts w:ascii="Arial" w:hAnsi="Arial" w:cs="Arial"/>
          <w:sz w:val="24"/>
          <w:szCs w:val="24"/>
        </w:rPr>
        <w:t>A</w:t>
      </w:r>
      <w:r w:rsidR="006F7B7C">
        <w:rPr>
          <w:rFonts w:ascii="Arial" w:hAnsi="Arial" w:cs="Arial"/>
          <w:sz w:val="24"/>
          <w:szCs w:val="24"/>
        </w:rPr>
        <w:t>uthority</w:t>
      </w:r>
    </w:p>
    <w:p w14:paraId="0CB94017" w14:textId="76EC47A9" w:rsidR="00E915B3" w:rsidRDefault="00687EA8" w:rsidP="006D16C5">
      <w:pPr>
        <w:pStyle w:val="ListParagraph"/>
        <w:numPr>
          <w:ilvl w:val="1"/>
          <w:numId w:val="1"/>
        </w:numPr>
        <w:spacing w:before="240" w:after="0" w:line="240" w:lineRule="auto"/>
        <w:jc w:val="both"/>
        <w:rPr>
          <w:rFonts w:ascii="Arial" w:hAnsi="Arial" w:cs="Arial"/>
          <w:sz w:val="24"/>
          <w:szCs w:val="24"/>
        </w:rPr>
      </w:pPr>
      <w:r>
        <w:rPr>
          <w:rFonts w:ascii="Arial" w:hAnsi="Arial" w:cs="Arial"/>
          <w:sz w:val="24"/>
          <w:szCs w:val="24"/>
        </w:rPr>
        <w:t xml:space="preserve">The child’s case has </w:t>
      </w:r>
      <w:r w:rsidR="00E915B3" w:rsidRPr="00111D16">
        <w:rPr>
          <w:rFonts w:ascii="Arial" w:hAnsi="Arial" w:cs="Arial"/>
          <w:sz w:val="24"/>
          <w:szCs w:val="24"/>
        </w:rPr>
        <w:t xml:space="preserve">closed less than </w:t>
      </w:r>
      <w:r w:rsidR="00B466EF">
        <w:rPr>
          <w:rFonts w:ascii="Arial" w:hAnsi="Arial" w:cs="Arial"/>
          <w:sz w:val="24"/>
          <w:szCs w:val="24"/>
        </w:rPr>
        <w:t>12 weeks</w:t>
      </w:r>
      <w:r w:rsidR="00E915B3" w:rsidRPr="00111D16">
        <w:rPr>
          <w:rFonts w:ascii="Arial" w:hAnsi="Arial" w:cs="Arial"/>
          <w:sz w:val="24"/>
          <w:szCs w:val="24"/>
        </w:rPr>
        <w:t xml:space="preserve"> before the report is </w:t>
      </w:r>
      <w:r w:rsidR="00DC43C3">
        <w:rPr>
          <w:rFonts w:ascii="Arial" w:hAnsi="Arial" w:cs="Arial"/>
          <w:sz w:val="24"/>
          <w:szCs w:val="24"/>
        </w:rPr>
        <w:t>asked for</w:t>
      </w:r>
      <w:r w:rsidR="0046160B">
        <w:rPr>
          <w:rFonts w:ascii="Arial" w:hAnsi="Arial" w:cs="Arial"/>
          <w:sz w:val="24"/>
          <w:szCs w:val="24"/>
        </w:rPr>
        <w:t>.</w:t>
      </w:r>
      <w:r w:rsidR="00DC43C3">
        <w:rPr>
          <w:rFonts w:ascii="Arial" w:hAnsi="Arial" w:cs="Arial"/>
          <w:sz w:val="24"/>
          <w:szCs w:val="24"/>
        </w:rPr>
        <w:t xml:space="preserve"> </w:t>
      </w:r>
    </w:p>
    <w:p w14:paraId="7A0B4499" w14:textId="644B3E90" w:rsidR="00FC4DEF" w:rsidRPr="00FC4DEF" w:rsidRDefault="00DC43C3" w:rsidP="00FC4DEF">
      <w:pPr>
        <w:spacing w:before="240" w:after="0" w:line="240" w:lineRule="auto"/>
        <w:ind w:left="720"/>
        <w:jc w:val="both"/>
        <w:rPr>
          <w:rFonts w:ascii="Arial" w:hAnsi="Arial" w:cs="Arial"/>
          <w:sz w:val="24"/>
          <w:szCs w:val="24"/>
        </w:rPr>
      </w:pPr>
      <w:r>
        <w:rPr>
          <w:rFonts w:ascii="Arial" w:hAnsi="Arial" w:cs="Arial"/>
          <w:sz w:val="24"/>
          <w:szCs w:val="24"/>
        </w:rPr>
        <w:t xml:space="preserve">b) </w:t>
      </w:r>
      <w:r w:rsidR="00FC4DEF" w:rsidRPr="00FC4DEF">
        <w:rPr>
          <w:rFonts w:ascii="Arial" w:hAnsi="Arial" w:cs="Arial"/>
          <w:sz w:val="24"/>
          <w:szCs w:val="24"/>
        </w:rPr>
        <w:t>If none of the above apply, then the court should be advised to order Cafcass to complete the section 7 report. It is important for the court to note that once the local authority completes and files the section 7 report and is awaiting a court date, it will not hold the case open and active.</w:t>
      </w:r>
    </w:p>
    <w:p w14:paraId="4151C601" w14:textId="3A979BD3" w:rsidR="00FC4DEF" w:rsidRPr="00FC4DEF" w:rsidRDefault="00FC4DEF" w:rsidP="00FC4DEF">
      <w:pPr>
        <w:spacing w:before="240" w:after="0" w:line="240" w:lineRule="auto"/>
        <w:ind w:left="720"/>
        <w:jc w:val="both"/>
        <w:rPr>
          <w:rFonts w:ascii="Arial" w:hAnsi="Arial" w:cs="Arial"/>
          <w:sz w:val="24"/>
          <w:szCs w:val="24"/>
        </w:rPr>
      </w:pPr>
      <w:r>
        <w:rPr>
          <w:rFonts w:ascii="Arial" w:hAnsi="Arial" w:cs="Arial"/>
          <w:sz w:val="24"/>
          <w:szCs w:val="24"/>
        </w:rPr>
        <w:t>c)</w:t>
      </w:r>
      <w:r w:rsidRPr="00FC4DEF">
        <w:rPr>
          <w:rFonts w:ascii="Arial" w:hAnsi="Arial" w:cs="Arial"/>
          <w:sz w:val="24"/>
          <w:szCs w:val="24"/>
        </w:rPr>
        <w:t xml:space="preserve"> Whether Cafcass or a local authority are directed to prepare the report, each agency is able, pursuant to Rule 12.73 of the Family Procedures Rules 2010, to provide the other agency with all the relevant information they hold to ensure that the court has a complete picture.</w:t>
      </w:r>
    </w:p>
    <w:p w14:paraId="11B71648" w14:textId="15DAFE63" w:rsidR="00CE059D" w:rsidRDefault="00FC4DEF" w:rsidP="00FC4DEF">
      <w:pPr>
        <w:spacing w:before="240" w:after="0" w:line="240" w:lineRule="auto"/>
        <w:ind w:left="720"/>
        <w:jc w:val="both"/>
        <w:rPr>
          <w:rFonts w:ascii="Arial" w:hAnsi="Arial" w:cs="Arial"/>
          <w:sz w:val="24"/>
          <w:szCs w:val="24"/>
        </w:rPr>
      </w:pPr>
      <w:r>
        <w:rPr>
          <w:rFonts w:ascii="Arial" w:hAnsi="Arial" w:cs="Arial"/>
          <w:sz w:val="24"/>
          <w:szCs w:val="24"/>
        </w:rPr>
        <w:t>d)</w:t>
      </w:r>
      <w:r w:rsidRPr="00FC4DEF">
        <w:rPr>
          <w:rFonts w:ascii="Arial" w:hAnsi="Arial" w:cs="Arial"/>
          <w:sz w:val="24"/>
          <w:szCs w:val="24"/>
        </w:rPr>
        <w:t xml:space="preserve"> Where Cafcass is recommending that a local authority prepares a section 7 report, Cafcass should first discuss this with the allocated local authority social worker and/or the first line manager.</w:t>
      </w:r>
    </w:p>
    <w:p w14:paraId="752A5A40" w14:textId="77777777" w:rsidR="0046160B" w:rsidRDefault="0046160B" w:rsidP="00FC4DEF">
      <w:pPr>
        <w:spacing w:before="240" w:after="0" w:line="240" w:lineRule="auto"/>
        <w:ind w:left="720"/>
        <w:jc w:val="both"/>
        <w:rPr>
          <w:rFonts w:ascii="Arial" w:hAnsi="Arial" w:cs="Arial"/>
          <w:sz w:val="24"/>
          <w:szCs w:val="24"/>
        </w:rPr>
      </w:pPr>
    </w:p>
    <w:p w14:paraId="35B1D5FD" w14:textId="2EA4228C" w:rsidR="0046160B" w:rsidRDefault="0046160B" w:rsidP="00FC4DEF">
      <w:pPr>
        <w:spacing w:before="240" w:after="0" w:line="240" w:lineRule="auto"/>
        <w:ind w:left="720"/>
        <w:jc w:val="both"/>
        <w:rPr>
          <w:rFonts w:ascii="Arial" w:hAnsi="Arial" w:cs="Arial"/>
          <w:sz w:val="24"/>
          <w:szCs w:val="24"/>
        </w:rPr>
      </w:pPr>
      <w:r>
        <w:rPr>
          <w:rFonts w:ascii="Arial" w:hAnsi="Arial" w:cs="Arial"/>
          <w:sz w:val="24"/>
          <w:szCs w:val="24"/>
        </w:rPr>
        <w:t>This is set out in the agreed policy embedded below.</w:t>
      </w:r>
    </w:p>
    <w:p w14:paraId="6B75B0F6" w14:textId="20F5DB0F" w:rsidR="0046160B" w:rsidRDefault="0046160B" w:rsidP="00FC4DEF">
      <w:pPr>
        <w:spacing w:before="240" w:after="0" w:line="240" w:lineRule="auto"/>
        <w:ind w:left="720"/>
        <w:jc w:val="both"/>
        <w:rPr>
          <w:rFonts w:ascii="Arial" w:hAnsi="Arial" w:cs="Arial"/>
          <w:sz w:val="24"/>
          <w:szCs w:val="24"/>
        </w:rPr>
      </w:pPr>
      <w:r>
        <w:rPr>
          <w:rFonts w:ascii="Arial" w:hAnsi="Arial" w:cs="Arial"/>
          <w:sz w:val="24"/>
          <w:szCs w:val="24"/>
        </w:rPr>
        <w:object w:dxaOrig="1508" w:dyaOrig="982" w14:anchorId="401AB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85pt" o:ole="">
            <v:imagedata r:id="rId8" o:title=""/>
          </v:shape>
          <o:OLEObject Type="Embed" ProgID="AcroExch.Document.DC" ShapeID="_x0000_i1025" DrawAspect="Icon" ObjectID="_1781684534" r:id="rId9"/>
        </w:object>
      </w:r>
    </w:p>
    <w:p w14:paraId="13B2508E" w14:textId="4F507D89" w:rsidR="00531C93" w:rsidRDefault="00531C93" w:rsidP="003215AD"/>
    <w:p w14:paraId="5120B02A" w14:textId="77777777" w:rsidR="00B52632" w:rsidRPr="00B52632" w:rsidRDefault="00B52632" w:rsidP="00B52632">
      <w:pPr>
        <w:spacing w:after="0" w:line="240" w:lineRule="auto"/>
        <w:rPr>
          <w:rFonts w:ascii="Arial" w:eastAsia="Times New Roman" w:hAnsi="Arial" w:cs="Arial"/>
          <w:b/>
          <w:bCs/>
          <w:sz w:val="24"/>
          <w:szCs w:val="24"/>
        </w:rPr>
      </w:pPr>
    </w:p>
    <w:p w14:paraId="2C136CB2" w14:textId="707FC462" w:rsidR="00321A40" w:rsidRPr="009D28EB" w:rsidRDefault="00700458" w:rsidP="009D28EB">
      <w:pPr>
        <w:rPr>
          <w:rFonts w:ascii="Arial" w:eastAsia="Times New Roman" w:hAnsi="Arial" w:cs="Arial"/>
          <w:b/>
          <w:bCs/>
          <w:sz w:val="24"/>
          <w:szCs w:val="24"/>
          <w:u w:val="single"/>
        </w:rPr>
      </w:pPr>
      <w:r>
        <w:rPr>
          <w:rFonts w:ascii="Arial" w:eastAsia="Times New Roman" w:hAnsi="Arial" w:cs="Arial"/>
          <w:b/>
          <w:bCs/>
          <w:sz w:val="24"/>
          <w:szCs w:val="24"/>
          <w:u w:val="single"/>
        </w:rPr>
        <w:t>Disputes</w:t>
      </w:r>
    </w:p>
    <w:p w14:paraId="7B23B74F" w14:textId="76E9A385" w:rsidR="00D67697" w:rsidRPr="0045689D" w:rsidRDefault="009D2664" w:rsidP="00D67697">
      <w:pPr>
        <w:autoSpaceDE w:val="0"/>
        <w:autoSpaceDN w:val="0"/>
        <w:jc w:val="both"/>
        <w:rPr>
          <w:rFonts w:ascii="Arial" w:hAnsi="Arial" w:cs="Arial"/>
          <w:color w:val="000000"/>
          <w:sz w:val="24"/>
          <w:szCs w:val="24"/>
        </w:rPr>
      </w:pPr>
      <w:r w:rsidRPr="0045689D">
        <w:rPr>
          <w:rFonts w:ascii="Arial" w:hAnsi="Arial" w:cs="Arial"/>
          <w:color w:val="000000"/>
          <w:sz w:val="24"/>
          <w:szCs w:val="24"/>
        </w:rPr>
        <w:t>I</w:t>
      </w:r>
      <w:r w:rsidR="00D67697" w:rsidRPr="0045689D">
        <w:rPr>
          <w:rFonts w:ascii="Arial" w:hAnsi="Arial" w:cs="Arial"/>
          <w:color w:val="000000"/>
          <w:sz w:val="24"/>
          <w:szCs w:val="24"/>
        </w:rPr>
        <w:t xml:space="preserve">n the </w:t>
      </w:r>
      <w:r w:rsidR="0046160B">
        <w:rPr>
          <w:rFonts w:ascii="Arial" w:hAnsi="Arial" w:cs="Arial"/>
          <w:color w:val="000000"/>
          <w:sz w:val="24"/>
          <w:szCs w:val="24"/>
        </w:rPr>
        <w:t xml:space="preserve">unusual </w:t>
      </w:r>
      <w:r w:rsidR="00D67697" w:rsidRPr="0045689D">
        <w:rPr>
          <w:rFonts w:ascii="Arial" w:hAnsi="Arial" w:cs="Arial"/>
          <w:color w:val="000000"/>
          <w:sz w:val="24"/>
          <w:szCs w:val="24"/>
        </w:rPr>
        <w:t>event there is a dispute between C</w:t>
      </w:r>
      <w:r w:rsidR="00E501AD">
        <w:rPr>
          <w:rFonts w:ascii="Arial" w:hAnsi="Arial" w:cs="Arial"/>
          <w:color w:val="000000"/>
          <w:sz w:val="24"/>
          <w:szCs w:val="24"/>
        </w:rPr>
        <w:t>afcass</w:t>
      </w:r>
      <w:r w:rsidR="00D67697" w:rsidRPr="0045689D">
        <w:rPr>
          <w:rFonts w:ascii="Arial" w:hAnsi="Arial" w:cs="Arial"/>
          <w:color w:val="000000"/>
          <w:sz w:val="24"/>
          <w:szCs w:val="24"/>
        </w:rPr>
        <w:t xml:space="preserve"> and the local authority about responsibility for a </w:t>
      </w:r>
      <w:r w:rsidR="0045689D" w:rsidRPr="0045689D">
        <w:rPr>
          <w:rFonts w:ascii="Arial" w:hAnsi="Arial" w:cs="Arial"/>
          <w:color w:val="000000"/>
          <w:sz w:val="24"/>
          <w:szCs w:val="24"/>
        </w:rPr>
        <w:t>Child Impact R</w:t>
      </w:r>
      <w:r w:rsidR="00D67697" w:rsidRPr="0045689D">
        <w:rPr>
          <w:rFonts w:ascii="Arial" w:hAnsi="Arial" w:cs="Arial"/>
          <w:color w:val="000000"/>
          <w:sz w:val="24"/>
          <w:szCs w:val="24"/>
        </w:rPr>
        <w:t>eport, in the first instance, both agencies will endeavour and expect to resolve this without the need for any further court determination. The Service Manager at C</w:t>
      </w:r>
      <w:r w:rsidR="00E501AD">
        <w:rPr>
          <w:rFonts w:ascii="Arial" w:hAnsi="Arial" w:cs="Arial"/>
          <w:color w:val="000000"/>
          <w:sz w:val="24"/>
          <w:szCs w:val="24"/>
        </w:rPr>
        <w:t>afcass</w:t>
      </w:r>
      <w:r w:rsidR="00D67697" w:rsidRPr="0045689D">
        <w:rPr>
          <w:rFonts w:ascii="Arial" w:hAnsi="Arial" w:cs="Arial"/>
          <w:color w:val="000000"/>
          <w:sz w:val="24"/>
          <w:szCs w:val="24"/>
        </w:rPr>
        <w:t xml:space="preserve"> and the Principal Lawyer at the </w:t>
      </w:r>
      <w:r w:rsidR="0045689D" w:rsidRPr="0045689D">
        <w:rPr>
          <w:rFonts w:ascii="Arial" w:hAnsi="Arial" w:cs="Arial"/>
          <w:color w:val="000000"/>
          <w:sz w:val="24"/>
          <w:szCs w:val="24"/>
        </w:rPr>
        <w:t>L</w:t>
      </w:r>
      <w:r w:rsidR="00D67697" w:rsidRPr="0045689D">
        <w:rPr>
          <w:rFonts w:ascii="Arial" w:hAnsi="Arial" w:cs="Arial"/>
          <w:color w:val="000000"/>
          <w:sz w:val="24"/>
          <w:szCs w:val="24"/>
        </w:rPr>
        <w:t xml:space="preserve">ocal </w:t>
      </w:r>
      <w:r w:rsidR="0045689D" w:rsidRPr="0045689D">
        <w:rPr>
          <w:rFonts w:ascii="Arial" w:hAnsi="Arial" w:cs="Arial"/>
          <w:color w:val="000000"/>
          <w:sz w:val="24"/>
          <w:szCs w:val="24"/>
        </w:rPr>
        <w:t>A</w:t>
      </w:r>
      <w:r w:rsidR="00D67697" w:rsidRPr="0045689D">
        <w:rPr>
          <w:rFonts w:ascii="Arial" w:hAnsi="Arial" w:cs="Arial"/>
          <w:color w:val="000000"/>
          <w:sz w:val="24"/>
          <w:szCs w:val="24"/>
        </w:rPr>
        <w:t>uthority will liaise about any disputes promptly to avoid and minimise any impact on the court timetable.</w:t>
      </w:r>
    </w:p>
    <w:p w14:paraId="37729003" w14:textId="77777777" w:rsidR="00D67697" w:rsidRPr="0045689D" w:rsidRDefault="00D67697" w:rsidP="00D67697">
      <w:pPr>
        <w:autoSpaceDE w:val="0"/>
        <w:autoSpaceDN w:val="0"/>
        <w:jc w:val="both"/>
        <w:rPr>
          <w:rFonts w:ascii="Arial" w:hAnsi="Arial" w:cs="Arial"/>
          <w:color w:val="000000"/>
          <w:sz w:val="24"/>
          <w:szCs w:val="24"/>
        </w:rPr>
      </w:pPr>
      <w:r w:rsidRPr="0045689D">
        <w:rPr>
          <w:rFonts w:ascii="Arial" w:hAnsi="Arial" w:cs="Arial"/>
          <w:color w:val="000000"/>
          <w:sz w:val="24"/>
          <w:szCs w:val="24"/>
        </w:rPr>
        <w:t>The agency disputing responsibility will raise this with the other in writing within three working days of receipt of the order. A response will be provided within three working days.</w:t>
      </w:r>
    </w:p>
    <w:p w14:paraId="71DE72AE" w14:textId="77777777" w:rsidR="00D67697" w:rsidRPr="0045689D" w:rsidRDefault="00D67697" w:rsidP="00D67697">
      <w:pPr>
        <w:autoSpaceDE w:val="0"/>
        <w:autoSpaceDN w:val="0"/>
        <w:jc w:val="both"/>
        <w:rPr>
          <w:rFonts w:ascii="Arial" w:hAnsi="Arial" w:cs="Arial"/>
          <w:color w:val="000000"/>
          <w:sz w:val="24"/>
          <w:szCs w:val="24"/>
        </w:rPr>
      </w:pPr>
      <w:r w:rsidRPr="0045689D">
        <w:rPr>
          <w:rFonts w:ascii="Arial" w:hAnsi="Arial" w:cs="Arial"/>
          <w:color w:val="000000"/>
          <w:sz w:val="24"/>
          <w:szCs w:val="24"/>
        </w:rPr>
        <w:t>If both agencies agree a transfer of responsibility, the agency seeking transfer will write to the allocated Judge by email to request that the order is amended.</w:t>
      </w:r>
    </w:p>
    <w:p w14:paraId="71182989" w14:textId="37B3FAD3" w:rsidR="00D67697" w:rsidRPr="0045689D" w:rsidRDefault="00D67697" w:rsidP="00D67697">
      <w:pPr>
        <w:autoSpaceDE w:val="0"/>
        <w:autoSpaceDN w:val="0"/>
        <w:jc w:val="both"/>
        <w:rPr>
          <w:rFonts w:ascii="Arial" w:hAnsi="Arial" w:cs="Arial"/>
          <w:color w:val="000000"/>
          <w:sz w:val="24"/>
          <w:szCs w:val="24"/>
        </w:rPr>
      </w:pPr>
      <w:r w:rsidRPr="0045689D">
        <w:rPr>
          <w:rFonts w:ascii="Arial" w:hAnsi="Arial" w:cs="Arial"/>
          <w:color w:val="000000"/>
          <w:sz w:val="24"/>
          <w:szCs w:val="24"/>
        </w:rPr>
        <w:t>If it is not possible for the agencies to agree responsibility, this will be referred to the court to determine on the basis of written submissions from each agency. Each agency will send a letter by email to the court. This will take place within seven days of service of the order. The court will inform C</w:t>
      </w:r>
      <w:r w:rsidR="00E501AD">
        <w:rPr>
          <w:rFonts w:ascii="Arial" w:hAnsi="Arial" w:cs="Arial"/>
          <w:color w:val="000000"/>
          <w:sz w:val="24"/>
          <w:szCs w:val="24"/>
        </w:rPr>
        <w:t>afcass</w:t>
      </w:r>
      <w:r w:rsidRPr="0045689D">
        <w:rPr>
          <w:rFonts w:ascii="Arial" w:hAnsi="Arial" w:cs="Arial"/>
          <w:color w:val="000000"/>
          <w:sz w:val="24"/>
          <w:szCs w:val="24"/>
        </w:rPr>
        <w:t xml:space="preserve"> and </w:t>
      </w:r>
      <w:r w:rsidR="007753DA">
        <w:rPr>
          <w:rFonts w:ascii="Arial" w:hAnsi="Arial" w:cs="Arial"/>
          <w:color w:val="000000"/>
          <w:sz w:val="24"/>
          <w:szCs w:val="24"/>
        </w:rPr>
        <w:t>the L</w:t>
      </w:r>
      <w:r w:rsidRPr="0045689D">
        <w:rPr>
          <w:rFonts w:ascii="Arial" w:hAnsi="Arial" w:cs="Arial"/>
          <w:color w:val="000000"/>
          <w:sz w:val="24"/>
          <w:szCs w:val="24"/>
        </w:rPr>
        <w:t>ocal</w:t>
      </w:r>
      <w:r w:rsidR="007753DA">
        <w:rPr>
          <w:rFonts w:ascii="Arial" w:hAnsi="Arial" w:cs="Arial"/>
          <w:color w:val="000000"/>
          <w:sz w:val="24"/>
          <w:szCs w:val="24"/>
        </w:rPr>
        <w:t xml:space="preserve"> A</w:t>
      </w:r>
      <w:r w:rsidRPr="0045689D">
        <w:rPr>
          <w:rFonts w:ascii="Arial" w:hAnsi="Arial" w:cs="Arial"/>
          <w:color w:val="000000"/>
          <w:sz w:val="24"/>
          <w:szCs w:val="24"/>
        </w:rPr>
        <w:t>uthority of the outcome within seven working days.</w:t>
      </w:r>
      <w:r w:rsidR="00932D7E">
        <w:rPr>
          <w:rFonts w:ascii="Arial" w:hAnsi="Arial" w:cs="Arial"/>
          <w:color w:val="000000"/>
          <w:sz w:val="24"/>
          <w:szCs w:val="24"/>
        </w:rPr>
        <w:t xml:space="preserve"> The decision of the court will be final and is not open to further challenge from either agency.</w:t>
      </w:r>
    </w:p>
    <w:p w14:paraId="46FE66AE" w14:textId="7C47D330" w:rsidR="00D67697" w:rsidRPr="00700458" w:rsidRDefault="00D67697" w:rsidP="00D67697">
      <w:pPr>
        <w:autoSpaceDE w:val="0"/>
        <w:autoSpaceDN w:val="0"/>
        <w:jc w:val="both"/>
        <w:rPr>
          <w:rFonts w:ascii="Arial" w:hAnsi="Arial" w:cs="Arial"/>
          <w:color w:val="000000"/>
          <w:sz w:val="24"/>
          <w:szCs w:val="24"/>
        </w:rPr>
      </w:pPr>
      <w:r w:rsidRPr="00700458">
        <w:rPr>
          <w:rFonts w:ascii="Arial" w:hAnsi="Arial" w:cs="Arial"/>
          <w:color w:val="000000"/>
          <w:sz w:val="24"/>
          <w:szCs w:val="24"/>
        </w:rPr>
        <w:t xml:space="preserve">The agency named in the court order will remain responsible for compliance with the </w:t>
      </w:r>
      <w:r w:rsidR="007753DA">
        <w:rPr>
          <w:rFonts w:ascii="Arial" w:hAnsi="Arial" w:cs="Arial"/>
          <w:color w:val="000000"/>
          <w:sz w:val="24"/>
          <w:szCs w:val="24"/>
        </w:rPr>
        <w:t>Child Impact Report</w:t>
      </w:r>
      <w:r w:rsidRPr="00700458">
        <w:rPr>
          <w:rFonts w:ascii="Arial" w:hAnsi="Arial" w:cs="Arial"/>
          <w:color w:val="000000"/>
          <w:sz w:val="24"/>
          <w:szCs w:val="24"/>
        </w:rPr>
        <w:t xml:space="preserve"> direction unless and until the court directs otherwise.</w:t>
      </w:r>
    </w:p>
    <w:p w14:paraId="65BB126E" w14:textId="060B46ED" w:rsidR="00D67697" w:rsidRPr="00700458" w:rsidRDefault="00D67697" w:rsidP="00D67697">
      <w:pPr>
        <w:jc w:val="both"/>
        <w:rPr>
          <w:rFonts w:ascii="Arial" w:hAnsi="Arial" w:cs="Arial"/>
          <w:color w:val="000000"/>
          <w:sz w:val="24"/>
          <w:szCs w:val="24"/>
        </w:rPr>
      </w:pPr>
    </w:p>
    <w:p w14:paraId="79ACB142" w14:textId="30E27F8B" w:rsidR="0045689D" w:rsidRPr="00700458" w:rsidRDefault="00700458" w:rsidP="00D67697">
      <w:pPr>
        <w:jc w:val="both"/>
        <w:rPr>
          <w:rFonts w:ascii="Arial" w:hAnsi="Arial" w:cs="Arial"/>
          <w:color w:val="000000"/>
          <w:sz w:val="24"/>
          <w:szCs w:val="24"/>
        </w:rPr>
      </w:pPr>
      <w:r>
        <w:rPr>
          <w:rFonts w:ascii="Arial" w:hAnsi="Arial" w:cs="Arial"/>
          <w:color w:val="000000"/>
          <w:sz w:val="24"/>
          <w:szCs w:val="24"/>
        </w:rPr>
        <w:t xml:space="preserve">Name: </w:t>
      </w:r>
      <w:r w:rsidR="00B466EF">
        <w:rPr>
          <w:rFonts w:ascii="Arial" w:hAnsi="Arial" w:cs="Arial"/>
          <w:color w:val="000000"/>
          <w:sz w:val="24"/>
          <w:szCs w:val="24"/>
        </w:rPr>
        <w:t>Grant Williams</w:t>
      </w:r>
    </w:p>
    <w:p w14:paraId="17FB0AFB" w14:textId="1CD8F5EB" w:rsidR="0045689D" w:rsidRPr="00700458" w:rsidRDefault="0045689D" w:rsidP="00D67697">
      <w:pPr>
        <w:jc w:val="both"/>
        <w:rPr>
          <w:rFonts w:ascii="Arial" w:hAnsi="Arial" w:cs="Arial"/>
          <w:color w:val="000000"/>
          <w:sz w:val="24"/>
          <w:szCs w:val="24"/>
        </w:rPr>
      </w:pPr>
      <w:r w:rsidRPr="00700458">
        <w:rPr>
          <w:rFonts w:ascii="Arial" w:hAnsi="Arial" w:cs="Arial"/>
          <w:color w:val="000000"/>
          <w:sz w:val="24"/>
          <w:szCs w:val="24"/>
        </w:rPr>
        <w:t>Head of Practice - Cafcass</w:t>
      </w:r>
    </w:p>
    <w:p w14:paraId="368C9C72" w14:textId="0CD4FA22" w:rsidR="0045689D" w:rsidRPr="00700458" w:rsidRDefault="00700458" w:rsidP="00D67697">
      <w:pPr>
        <w:jc w:val="both"/>
        <w:rPr>
          <w:rFonts w:ascii="Arial" w:hAnsi="Arial" w:cs="Arial"/>
          <w:color w:val="1F497D"/>
        </w:rPr>
      </w:pPr>
      <w:r>
        <w:rPr>
          <w:rFonts w:ascii="Arial" w:hAnsi="Arial" w:cs="Arial"/>
          <w:color w:val="000000"/>
          <w:sz w:val="24"/>
          <w:szCs w:val="24"/>
        </w:rPr>
        <w:t xml:space="preserve">Date: </w:t>
      </w:r>
      <w:r w:rsidR="00B466EF">
        <w:rPr>
          <w:rFonts w:ascii="Arial" w:hAnsi="Arial" w:cs="Arial"/>
          <w:color w:val="000000"/>
          <w:sz w:val="24"/>
          <w:szCs w:val="24"/>
        </w:rPr>
        <w:t>3</w:t>
      </w:r>
      <w:r w:rsidR="00B466EF" w:rsidRPr="00B466EF">
        <w:rPr>
          <w:rFonts w:ascii="Arial" w:hAnsi="Arial" w:cs="Arial"/>
          <w:color w:val="000000"/>
          <w:sz w:val="24"/>
          <w:szCs w:val="24"/>
          <w:vertAlign w:val="superscript"/>
        </w:rPr>
        <w:t>rd</w:t>
      </w:r>
      <w:r w:rsidR="00B466EF">
        <w:rPr>
          <w:rFonts w:ascii="Arial" w:hAnsi="Arial" w:cs="Arial"/>
          <w:color w:val="000000"/>
          <w:sz w:val="24"/>
          <w:szCs w:val="24"/>
        </w:rPr>
        <w:t xml:space="preserve"> April 2024</w:t>
      </w:r>
    </w:p>
    <w:p w14:paraId="5DAA8C82" w14:textId="7220E88F" w:rsidR="00D67697" w:rsidRDefault="00D67697" w:rsidP="003215AD">
      <w:pPr>
        <w:rPr>
          <w:rFonts w:ascii="Arial" w:hAnsi="Arial" w:cs="Arial"/>
          <w:sz w:val="24"/>
          <w:szCs w:val="24"/>
        </w:rPr>
      </w:pPr>
    </w:p>
    <w:p w14:paraId="7386A4C4" w14:textId="6199C063" w:rsidR="00700458" w:rsidRDefault="00700458" w:rsidP="003215AD">
      <w:pPr>
        <w:rPr>
          <w:rFonts w:ascii="Arial" w:hAnsi="Arial" w:cs="Arial"/>
          <w:sz w:val="24"/>
          <w:szCs w:val="24"/>
        </w:rPr>
      </w:pPr>
      <w:r>
        <w:rPr>
          <w:rFonts w:ascii="Arial" w:hAnsi="Arial" w:cs="Arial"/>
          <w:sz w:val="24"/>
          <w:szCs w:val="24"/>
        </w:rPr>
        <w:t>Name:</w:t>
      </w:r>
    </w:p>
    <w:p w14:paraId="72FCF5CE" w14:textId="0D8F5EB1" w:rsidR="00700458" w:rsidRDefault="00700458" w:rsidP="003215AD">
      <w:pPr>
        <w:rPr>
          <w:rFonts w:ascii="Arial" w:hAnsi="Arial" w:cs="Arial"/>
          <w:sz w:val="24"/>
          <w:szCs w:val="24"/>
        </w:rPr>
      </w:pPr>
      <w:r>
        <w:rPr>
          <w:rFonts w:ascii="Arial" w:hAnsi="Arial" w:cs="Arial"/>
          <w:sz w:val="24"/>
          <w:szCs w:val="24"/>
        </w:rPr>
        <w:t>Bournemouth Christchurch and Poole Local Authority</w:t>
      </w:r>
    </w:p>
    <w:p w14:paraId="50306086" w14:textId="66E51D55" w:rsidR="00700458" w:rsidRDefault="00700458" w:rsidP="003215AD">
      <w:pPr>
        <w:rPr>
          <w:rFonts w:ascii="Arial" w:hAnsi="Arial" w:cs="Arial"/>
          <w:sz w:val="24"/>
          <w:szCs w:val="24"/>
        </w:rPr>
      </w:pPr>
      <w:r>
        <w:rPr>
          <w:rFonts w:ascii="Arial" w:hAnsi="Arial" w:cs="Arial"/>
          <w:sz w:val="24"/>
          <w:szCs w:val="24"/>
        </w:rPr>
        <w:t>Date:</w:t>
      </w:r>
    </w:p>
    <w:p w14:paraId="7EA34507" w14:textId="589C271C" w:rsidR="00700458" w:rsidRDefault="00700458" w:rsidP="003215AD">
      <w:pPr>
        <w:rPr>
          <w:rFonts w:ascii="Arial" w:hAnsi="Arial" w:cs="Arial"/>
          <w:sz w:val="24"/>
          <w:szCs w:val="24"/>
        </w:rPr>
      </w:pPr>
    </w:p>
    <w:p w14:paraId="6F409F2B" w14:textId="77777777" w:rsidR="00700458" w:rsidRDefault="00700458" w:rsidP="00700458">
      <w:pPr>
        <w:rPr>
          <w:rFonts w:ascii="Arial" w:hAnsi="Arial" w:cs="Arial"/>
          <w:sz w:val="24"/>
          <w:szCs w:val="24"/>
        </w:rPr>
      </w:pPr>
      <w:r>
        <w:rPr>
          <w:rFonts w:ascii="Arial" w:hAnsi="Arial" w:cs="Arial"/>
          <w:sz w:val="24"/>
          <w:szCs w:val="24"/>
        </w:rPr>
        <w:t>Name:</w:t>
      </w:r>
    </w:p>
    <w:p w14:paraId="1D2731D4" w14:textId="13089047" w:rsidR="00700458" w:rsidRDefault="00700458" w:rsidP="00700458">
      <w:pPr>
        <w:rPr>
          <w:rFonts w:ascii="Arial" w:hAnsi="Arial" w:cs="Arial"/>
          <w:sz w:val="24"/>
          <w:szCs w:val="24"/>
        </w:rPr>
      </w:pPr>
      <w:r>
        <w:rPr>
          <w:rFonts w:ascii="Arial" w:hAnsi="Arial" w:cs="Arial"/>
          <w:sz w:val="24"/>
          <w:szCs w:val="24"/>
        </w:rPr>
        <w:t>Dorset Local Authority</w:t>
      </w:r>
    </w:p>
    <w:p w14:paraId="03AF5993" w14:textId="77777777" w:rsidR="00700458" w:rsidRPr="003215AD" w:rsidRDefault="00700458" w:rsidP="00700458">
      <w:pPr>
        <w:rPr>
          <w:rFonts w:ascii="Arial" w:hAnsi="Arial" w:cs="Arial"/>
          <w:sz w:val="24"/>
          <w:szCs w:val="24"/>
        </w:rPr>
      </w:pPr>
      <w:r>
        <w:rPr>
          <w:rFonts w:ascii="Arial" w:hAnsi="Arial" w:cs="Arial"/>
          <w:sz w:val="24"/>
          <w:szCs w:val="24"/>
        </w:rPr>
        <w:t>Date:</w:t>
      </w:r>
    </w:p>
    <w:p w14:paraId="799549E4" w14:textId="77777777" w:rsidR="00700458" w:rsidRPr="003215AD" w:rsidRDefault="00700458" w:rsidP="003215AD">
      <w:pPr>
        <w:rPr>
          <w:rFonts w:ascii="Arial" w:hAnsi="Arial" w:cs="Arial"/>
          <w:sz w:val="24"/>
          <w:szCs w:val="24"/>
        </w:rPr>
      </w:pPr>
    </w:p>
    <w:sectPr w:rsidR="00700458" w:rsidRPr="00321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F660C"/>
    <w:multiLevelType w:val="hybridMultilevel"/>
    <w:tmpl w:val="2550D6A4"/>
    <w:lvl w:ilvl="0" w:tplc="C9184A1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5704C1"/>
    <w:multiLevelType w:val="hybridMultilevel"/>
    <w:tmpl w:val="1CD8D542"/>
    <w:lvl w:ilvl="0" w:tplc="9D124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4B12CC"/>
    <w:multiLevelType w:val="hybridMultilevel"/>
    <w:tmpl w:val="196A6CDC"/>
    <w:lvl w:ilvl="0" w:tplc="E2AECF9C">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986372"/>
    <w:multiLevelType w:val="hybridMultilevel"/>
    <w:tmpl w:val="D2966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15739">
    <w:abstractNumId w:val="3"/>
  </w:num>
  <w:num w:numId="2" w16cid:durableId="1160072841">
    <w:abstractNumId w:val="1"/>
  </w:num>
  <w:num w:numId="3" w16cid:durableId="383482397">
    <w:abstractNumId w:val="2"/>
  </w:num>
  <w:num w:numId="4" w16cid:durableId="103246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AD"/>
    <w:rsid w:val="00032830"/>
    <w:rsid w:val="000756CD"/>
    <w:rsid w:val="00104DAE"/>
    <w:rsid w:val="0018286B"/>
    <w:rsid w:val="001C2918"/>
    <w:rsid w:val="00301F84"/>
    <w:rsid w:val="003215AD"/>
    <w:rsid w:val="00321A40"/>
    <w:rsid w:val="003D4229"/>
    <w:rsid w:val="0045689D"/>
    <w:rsid w:val="0046160B"/>
    <w:rsid w:val="004A7760"/>
    <w:rsid w:val="005009A3"/>
    <w:rsid w:val="00531C93"/>
    <w:rsid w:val="00570C33"/>
    <w:rsid w:val="00606AA1"/>
    <w:rsid w:val="0064704A"/>
    <w:rsid w:val="0066063C"/>
    <w:rsid w:val="00675514"/>
    <w:rsid w:val="0068402C"/>
    <w:rsid w:val="00687EA8"/>
    <w:rsid w:val="006D16C5"/>
    <w:rsid w:val="006F7B7C"/>
    <w:rsid w:val="00700458"/>
    <w:rsid w:val="007753DA"/>
    <w:rsid w:val="007D119F"/>
    <w:rsid w:val="008209C6"/>
    <w:rsid w:val="008C4249"/>
    <w:rsid w:val="008D4221"/>
    <w:rsid w:val="0090199A"/>
    <w:rsid w:val="00932D7E"/>
    <w:rsid w:val="009A5D7A"/>
    <w:rsid w:val="009D2664"/>
    <w:rsid w:val="009D28EB"/>
    <w:rsid w:val="009D5CE9"/>
    <w:rsid w:val="00A55A45"/>
    <w:rsid w:val="00A76F7D"/>
    <w:rsid w:val="00B466EF"/>
    <w:rsid w:val="00B52632"/>
    <w:rsid w:val="00BC1E81"/>
    <w:rsid w:val="00CD605B"/>
    <w:rsid w:val="00CE059D"/>
    <w:rsid w:val="00D67697"/>
    <w:rsid w:val="00D72179"/>
    <w:rsid w:val="00DC43C3"/>
    <w:rsid w:val="00E501AD"/>
    <w:rsid w:val="00E915B3"/>
    <w:rsid w:val="00EB7363"/>
    <w:rsid w:val="00F86CE3"/>
    <w:rsid w:val="00FC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C13A"/>
  <w15:chartTrackingRefBased/>
  <w15:docId w15:val="{27EC3F11-E530-47BA-BF60-4FC590DB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63"/>
    <w:pPr>
      <w:ind w:left="720"/>
      <w:contextualSpacing/>
    </w:pPr>
  </w:style>
  <w:style w:type="character" w:styleId="Hyperlink">
    <w:name w:val="Hyperlink"/>
    <w:basedOn w:val="DefaultParagraphFont"/>
    <w:uiPriority w:val="99"/>
    <w:semiHidden/>
    <w:unhideWhenUsed/>
    <w:rsid w:val="00531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445907">
      <w:bodyDiv w:val="1"/>
      <w:marLeft w:val="0"/>
      <w:marRight w:val="0"/>
      <w:marTop w:val="0"/>
      <w:marBottom w:val="0"/>
      <w:divBdr>
        <w:top w:val="none" w:sz="0" w:space="0" w:color="auto"/>
        <w:left w:val="none" w:sz="0" w:space="0" w:color="auto"/>
        <w:bottom w:val="none" w:sz="0" w:space="0" w:color="auto"/>
        <w:right w:val="none" w:sz="0" w:space="0" w:color="auto"/>
      </w:divBdr>
    </w:div>
    <w:div w:id="21444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Whitehead</dc:creator>
  <cp:keywords/>
  <dc:description/>
  <cp:lastModifiedBy>Grant Williams</cp:lastModifiedBy>
  <cp:revision>2</cp:revision>
  <dcterms:created xsi:type="dcterms:W3CDTF">2024-04-08T08:35:00Z</dcterms:created>
  <dcterms:modified xsi:type="dcterms:W3CDTF">2024-04-08T08:35:00Z</dcterms:modified>
</cp:coreProperties>
</file>