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A55B" w14:textId="3E570E6F" w:rsidR="00B56E58" w:rsidRPr="008040E7" w:rsidRDefault="005F69C0" w:rsidP="00F13166">
      <w:pPr>
        <w:pBdr>
          <w:top w:val="single" w:sz="4" w:space="1" w:color="auto"/>
          <w:left w:val="single" w:sz="4" w:space="4" w:color="auto"/>
          <w:bottom w:val="single" w:sz="4" w:space="1" w:color="auto"/>
          <w:right w:val="single" w:sz="4" w:space="4" w:color="auto"/>
        </w:pBdr>
        <w:shd w:val="clear" w:color="auto" w:fill="9CC2E5" w:themeFill="accent5" w:themeFillTint="99"/>
        <w:jc w:val="center"/>
        <w:rPr>
          <w:b/>
          <w:bCs/>
          <w:sz w:val="36"/>
          <w:szCs w:val="36"/>
        </w:rPr>
      </w:pPr>
      <w:r w:rsidRPr="008040E7">
        <w:rPr>
          <w:b/>
          <w:bCs/>
          <w:sz w:val="36"/>
          <w:szCs w:val="36"/>
        </w:rPr>
        <w:t>Lone Working</w:t>
      </w:r>
      <w:r w:rsidR="008040E7" w:rsidRPr="008040E7">
        <w:rPr>
          <w:b/>
          <w:bCs/>
          <w:sz w:val="36"/>
          <w:szCs w:val="36"/>
        </w:rPr>
        <w:t xml:space="preserve"> in Children’s Services</w:t>
      </w:r>
    </w:p>
    <w:p w14:paraId="539768A7" w14:textId="7A0767A3" w:rsidR="005F69C0" w:rsidRPr="008040E7" w:rsidRDefault="005F69C0" w:rsidP="00F13166">
      <w:pPr>
        <w:pBdr>
          <w:top w:val="single" w:sz="4" w:space="1" w:color="auto"/>
          <w:left w:val="single" w:sz="4" w:space="4" w:color="auto"/>
          <w:bottom w:val="single" w:sz="4" w:space="1" w:color="auto"/>
          <w:right w:val="single" w:sz="4" w:space="4" w:color="auto"/>
        </w:pBdr>
        <w:shd w:val="clear" w:color="auto" w:fill="9CC2E5" w:themeFill="accent5" w:themeFillTint="99"/>
        <w:jc w:val="center"/>
        <w:rPr>
          <w:b/>
          <w:bCs/>
          <w:sz w:val="32"/>
          <w:szCs w:val="32"/>
        </w:rPr>
      </w:pPr>
      <w:r w:rsidRPr="008040E7">
        <w:rPr>
          <w:b/>
          <w:bCs/>
          <w:sz w:val="32"/>
          <w:szCs w:val="32"/>
        </w:rPr>
        <w:t>Team Plan</w:t>
      </w:r>
    </w:p>
    <w:tbl>
      <w:tblPr>
        <w:tblStyle w:val="TableGrid"/>
        <w:tblW w:w="9209" w:type="dxa"/>
        <w:jc w:val="center"/>
        <w:tblLook w:val="04A0" w:firstRow="1" w:lastRow="0" w:firstColumn="1" w:lastColumn="0" w:noHBand="0" w:noVBand="1"/>
      </w:tblPr>
      <w:tblGrid>
        <w:gridCol w:w="2547"/>
        <w:gridCol w:w="6662"/>
      </w:tblGrid>
      <w:tr w:rsidR="005F69C0" w14:paraId="121DBA72" w14:textId="77777777" w:rsidTr="00F13166">
        <w:trPr>
          <w:trHeight w:val="475"/>
          <w:jc w:val="center"/>
        </w:trPr>
        <w:tc>
          <w:tcPr>
            <w:tcW w:w="2547" w:type="dxa"/>
            <w:shd w:val="clear" w:color="auto" w:fill="9CC2E5" w:themeFill="accent5" w:themeFillTint="99"/>
            <w:vAlign w:val="center"/>
          </w:tcPr>
          <w:p w14:paraId="0A6004BD" w14:textId="77777777" w:rsidR="005F69C0" w:rsidRPr="008040E7" w:rsidRDefault="005F69C0" w:rsidP="008040E7">
            <w:pPr>
              <w:rPr>
                <w:b/>
                <w:bCs/>
              </w:rPr>
            </w:pPr>
            <w:r w:rsidRPr="008040E7">
              <w:rPr>
                <w:b/>
                <w:bCs/>
                <w:sz w:val="24"/>
                <w:szCs w:val="24"/>
              </w:rPr>
              <w:t>Team Name</w:t>
            </w:r>
          </w:p>
        </w:tc>
        <w:tc>
          <w:tcPr>
            <w:tcW w:w="6662" w:type="dxa"/>
            <w:vAlign w:val="center"/>
          </w:tcPr>
          <w:p w14:paraId="20A26C34" w14:textId="77777777" w:rsidR="005F69C0" w:rsidRDefault="005F69C0" w:rsidP="008040E7"/>
        </w:tc>
      </w:tr>
    </w:tbl>
    <w:p w14:paraId="26C106FB" w14:textId="77777777" w:rsidR="005F69C0" w:rsidRDefault="005F69C0"/>
    <w:p w14:paraId="602BA9D4" w14:textId="313C14AF" w:rsidR="005F69C0" w:rsidRDefault="005F69C0" w:rsidP="008040E7">
      <w:pPr>
        <w:jc w:val="both"/>
      </w:pPr>
      <w:r>
        <w:t xml:space="preserve">It is important that each team has an agreed approach to how they will manage the risks associated with lone working. This plan is a standard template which can be personalised to ensure each team has the </w:t>
      </w:r>
      <w:r w:rsidR="00E93A2D">
        <w:t>appropriate</w:t>
      </w:r>
      <w:r>
        <w:t xml:space="preserve"> arrangements in place to meet their needs and keep staff safe.</w:t>
      </w:r>
      <w:r w:rsidR="0018524A" w:rsidRPr="0018524A">
        <w:rPr>
          <w:noProof/>
        </w:rPr>
        <w:t xml:space="preserve"> </w:t>
      </w:r>
    </w:p>
    <w:p w14:paraId="5EA9DA85" w14:textId="53B01ACB" w:rsidR="005F69C0" w:rsidRPr="008040E7" w:rsidRDefault="005F69C0">
      <w:pPr>
        <w:rPr>
          <w:b/>
          <w:bCs/>
        </w:rPr>
      </w:pPr>
      <w:r w:rsidRPr="008040E7">
        <w:rPr>
          <w:b/>
          <w:bCs/>
        </w:rPr>
        <w:t>This covers:</w:t>
      </w:r>
    </w:p>
    <w:p w14:paraId="0478C834" w14:textId="5BBFF2B3" w:rsidR="005F69C0" w:rsidRPr="00E93A2D" w:rsidRDefault="005F69C0" w:rsidP="005F69C0">
      <w:pPr>
        <w:pStyle w:val="ListParagraph"/>
        <w:numPr>
          <w:ilvl w:val="0"/>
          <w:numId w:val="2"/>
        </w:numPr>
        <w:rPr>
          <w:b/>
          <w:bCs/>
          <w:sz w:val="24"/>
          <w:szCs w:val="24"/>
        </w:rPr>
      </w:pPr>
      <w:r w:rsidRPr="00E93A2D">
        <w:rPr>
          <w:b/>
          <w:bCs/>
          <w:sz w:val="24"/>
          <w:szCs w:val="24"/>
        </w:rPr>
        <w:t>Calendar expectations – knowing where you are</w:t>
      </w:r>
      <w:r w:rsidR="00E93A2D">
        <w:rPr>
          <w:b/>
          <w:bCs/>
          <w:sz w:val="24"/>
          <w:szCs w:val="24"/>
        </w:rPr>
        <w:t>.</w:t>
      </w:r>
    </w:p>
    <w:p w14:paraId="5EEC9F33" w14:textId="6DCE9FA1" w:rsidR="005F69C0" w:rsidRPr="00E93A2D" w:rsidRDefault="005F69C0" w:rsidP="005F69C0">
      <w:pPr>
        <w:pStyle w:val="ListParagraph"/>
        <w:numPr>
          <w:ilvl w:val="0"/>
          <w:numId w:val="2"/>
        </w:numPr>
        <w:rPr>
          <w:b/>
          <w:bCs/>
          <w:sz w:val="24"/>
          <w:szCs w:val="24"/>
        </w:rPr>
      </w:pPr>
      <w:r w:rsidRPr="00E93A2D">
        <w:rPr>
          <w:b/>
          <w:bCs/>
          <w:sz w:val="24"/>
          <w:szCs w:val="24"/>
        </w:rPr>
        <w:t>Next of Kin – knowing who to contact</w:t>
      </w:r>
      <w:r w:rsidR="00E93A2D">
        <w:rPr>
          <w:b/>
          <w:bCs/>
          <w:sz w:val="24"/>
          <w:szCs w:val="24"/>
        </w:rPr>
        <w:t>.</w:t>
      </w:r>
    </w:p>
    <w:p w14:paraId="10D6F772" w14:textId="40A80185" w:rsidR="005F69C0" w:rsidRDefault="00316444" w:rsidP="005F69C0">
      <w:pPr>
        <w:pStyle w:val="ListParagraph"/>
        <w:numPr>
          <w:ilvl w:val="0"/>
          <w:numId w:val="2"/>
        </w:numPr>
        <w:rPr>
          <w:b/>
          <w:bCs/>
          <w:sz w:val="24"/>
          <w:szCs w:val="24"/>
        </w:rPr>
      </w:pPr>
      <w:r>
        <w:rPr>
          <w:b/>
          <w:bCs/>
          <w:sz w:val="24"/>
          <w:szCs w:val="24"/>
        </w:rPr>
        <w:t xml:space="preserve">Planning &amp; </w:t>
      </w:r>
      <w:r w:rsidR="005F69C0" w:rsidRPr="00E93A2D">
        <w:rPr>
          <w:b/>
          <w:bCs/>
          <w:sz w:val="24"/>
          <w:szCs w:val="24"/>
        </w:rPr>
        <w:t>Personal safety – keeping ourselves safe</w:t>
      </w:r>
      <w:r w:rsidR="00E93A2D">
        <w:rPr>
          <w:b/>
          <w:bCs/>
          <w:sz w:val="24"/>
          <w:szCs w:val="24"/>
        </w:rPr>
        <w:t>.</w:t>
      </w:r>
    </w:p>
    <w:p w14:paraId="08EE36E3" w14:textId="64D0E71D" w:rsidR="005F69C0" w:rsidRPr="00E93A2D" w:rsidRDefault="00490134" w:rsidP="005F69C0">
      <w:pPr>
        <w:pStyle w:val="ListParagraph"/>
        <w:numPr>
          <w:ilvl w:val="0"/>
          <w:numId w:val="2"/>
        </w:numPr>
        <w:rPr>
          <w:b/>
          <w:bCs/>
          <w:sz w:val="24"/>
          <w:szCs w:val="24"/>
        </w:rPr>
      </w:pPr>
      <w:r>
        <w:rPr>
          <w:b/>
          <w:bCs/>
          <w:sz w:val="24"/>
          <w:szCs w:val="24"/>
        </w:rPr>
        <w:t>Checking in</w:t>
      </w:r>
      <w:r w:rsidR="005F69C0" w:rsidRPr="00E93A2D">
        <w:rPr>
          <w:b/>
          <w:bCs/>
          <w:sz w:val="24"/>
          <w:szCs w:val="24"/>
        </w:rPr>
        <w:t xml:space="preserve"> – knowing when and how to check in</w:t>
      </w:r>
      <w:r w:rsidR="00E93A2D">
        <w:rPr>
          <w:b/>
          <w:bCs/>
          <w:sz w:val="24"/>
          <w:szCs w:val="24"/>
        </w:rPr>
        <w:t>.</w:t>
      </w:r>
    </w:p>
    <w:p w14:paraId="01BD334E" w14:textId="23F12588" w:rsidR="005F69C0" w:rsidRPr="00E93A2D" w:rsidRDefault="005F69C0" w:rsidP="005F69C0">
      <w:pPr>
        <w:pStyle w:val="ListParagraph"/>
        <w:numPr>
          <w:ilvl w:val="0"/>
          <w:numId w:val="2"/>
        </w:numPr>
        <w:rPr>
          <w:b/>
          <w:bCs/>
          <w:sz w:val="24"/>
          <w:szCs w:val="24"/>
        </w:rPr>
      </w:pPr>
      <w:r w:rsidRPr="00E93A2D">
        <w:rPr>
          <w:b/>
          <w:bCs/>
          <w:sz w:val="24"/>
          <w:szCs w:val="24"/>
        </w:rPr>
        <w:t>Calling for help – knowing what to do if something goes wrong</w:t>
      </w:r>
      <w:r w:rsidR="00E93A2D">
        <w:rPr>
          <w:b/>
          <w:bCs/>
          <w:sz w:val="24"/>
          <w:szCs w:val="24"/>
        </w:rPr>
        <w:t>.</w:t>
      </w:r>
    </w:p>
    <w:p w14:paraId="394F1E51" w14:textId="7539A400" w:rsidR="008040E7" w:rsidRPr="00E93A2D" w:rsidRDefault="008040E7" w:rsidP="005F69C0">
      <w:pPr>
        <w:pStyle w:val="ListParagraph"/>
        <w:numPr>
          <w:ilvl w:val="0"/>
          <w:numId w:val="2"/>
        </w:numPr>
        <w:rPr>
          <w:b/>
          <w:bCs/>
          <w:sz w:val="24"/>
          <w:szCs w:val="24"/>
        </w:rPr>
      </w:pPr>
      <w:r w:rsidRPr="00E93A2D">
        <w:rPr>
          <w:b/>
          <w:bCs/>
          <w:sz w:val="24"/>
          <w:szCs w:val="24"/>
        </w:rPr>
        <w:t>Debriefing after – learning from incidents</w:t>
      </w:r>
      <w:r w:rsidR="00E93A2D">
        <w:rPr>
          <w:b/>
          <w:bCs/>
          <w:sz w:val="24"/>
          <w:szCs w:val="24"/>
        </w:rPr>
        <w:t>.</w:t>
      </w:r>
    </w:p>
    <w:p w14:paraId="2F9AF18F" w14:textId="77777777" w:rsidR="005F69C0" w:rsidRPr="009A7100" w:rsidRDefault="005F69C0">
      <w:pPr>
        <w:rPr>
          <w:sz w:val="8"/>
          <w:szCs w:val="8"/>
        </w:rPr>
      </w:pPr>
    </w:p>
    <w:p w14:paraId="53F4F692" w14:textId="2261346A" w:rsidR="005F69C0" w:rsidRDefault="005F69C0" w:rsidP="00E93A2D">
      <w:pPr>
        <w:jc w:val="both"/>
      </w:pPr>
      <w:r>
        <w:t xml:space="preserve">All team members should be briefed on the </w:t>
      </w:r>
      <w:r w:rsidR="00E93A2D">
        <w:t>approach for their team which is outlined in this document</w:t>
      </w:r>
      <w:r>
        <w:t xml:space="preserve"> and sign to confirm this below</w:t>
      </w:r>
      <w:r w:rsidR="00E93A2D">
        <w:t>, showing a commitment and understanding of our expectations and approaches.</w:t>
      </w:r>
    </w:p>
    <w:tbl>
      <w:tblPr>
        <w:tblStyle w:val="TableGrid"/>
        <w:tblW w:w="0" w:type="auto"/>
        <w:tblLook w:val="04A0" w:firstRow="1" w:lastRow="0" w:firstColumn="1" w:lastColumn="0" w:noHBand="0" w:noVBand="1"/>
      </w:tblPr>
      <w:tblGrid>
        <w:gridCol w:w="3823"/>
        <w:gridCol w:w="3402"/>
        <w:gridCol w:w="1791"/>
      </w:tblGrid>
      <w:tr w:rsidR="00473AAD" w:rsidRPr="008040E7" w14:paraId="2DBCC3EA" w14:textId="223F0357" w:rsidTr="00F13166">
        <w:trPr>
          <w:trHeight w:val="454"/>
        </w:trPr>
        <w:tc>
          <w:tcPr>
            <w:tcW w:w="3823" w:type="dxa"/>
            <w:shd w:val="clear" w:color="auto" w:fill="9CC2E5" w:themeFill="accent5" w:themeFillTint="99"/>
            <w:vAlign w:val="center"/>
          </w:tcPr>
          <w:p w14:paraId="6F92FD2A" w14:textId="5FC0D70A" w:rsidR="00473AAD" w:rsidRPr="00E93A2D" w:rsidRDefault="00473AAD" w:rsidP="00E93A2D">
            <w:pPr>
              <w:jc w:val="center"/>
              <w:rPr>
                <w:b/>
                <w:bCs/>
                <w:sz w:val="24"/>
                <w:szCs w:val="24"/>
              </w:rPr>
            </w:pPr>
            <w:r w:rsidRPr="00E93A2D">
              <w:rPr>
                <w:b/>
                <w:bCs/>
                <w:sz w:val="24"/>
                <w:szCs w:val="24"/>
              </w:rPr>
              <w:t>Name</w:t>
            </w:r>
          </w:p>
        </w:tc>
        <w:tc>
          <w:tcPr>
            <w:tcW w:w="3402" w:type="dxa"/>
            <w:shd w:val="clear" w:color="auto" w:fill="9CC2E5" w:themeFill="accent5" w:themeFillTint="99"/>
            <w:vAlign w:val="center"/>
          </w:tcPr>
          <w:p w14:paraId="75072253" w14:textId="2E43D25D" w:rsidR="00473AAD" w:rsidRPr="00E93A2D" w:rsidRDefault="00473AAD" w:rsidP="00E93A2D">
            <w:pPr>
              <w:jc w:val="center"/>
              <w:rPr>
                <w:b/>
                <w:bCs/>
                <w:sz w:val="24"/>
                <w:szCs w:val="24"/>
              </w:rPr>
            </w:pPr>
            <w:r w:rsidRPr="00E93A2D">
              <w:rPr>
                <w:b/>
                <w:bCs/>
                <w:sz w:val="24"/>
                <w:szCs w:val="24"/>
              </w:rPr>
              <w:t>Signed</w:t>
            </w:r>
          </w:p>
        </w:tc>
        <w:tc>
          <w:tcPr>
            <w:tcW w:w="1791" w:type="dxa"/>
            <w:shd w:val="clear" w:color="auto" w:fill="9CC2E5" w:themeFill="accent5" w:themeFillTint="99"/>
            <w:vAlign w:val="center"/>
          </w:tcPr>
          <w:p w14:paraId="666FED54" w14:textId="1C3606F2" w:rsidR="00473AAD" w:rsidRPr="00E93A2D" w:rsidRDefault="00473AAD" w:rsidP="00473AAD">
            <w:pPr>
              <w:jc w:val="center"/>
              <w:rPr>
                <w:b/>
                <w:bCs/>
                <w:sz w:val="24"/>
                <w:szCs w:val="24"/>
              </w:rPr>
            </w:pPr>
            <w:r>
              <w:rPr>
                <w:b/>
                <w:bCs/>
                <w:sz w:val="24"/>
                <w:szCs w:val="24"/>
              </w:rPr>
              <w:t>Date</w:t>
            </w:r>
          </w:p>
        </w:tc>
      </w:tr>
      <w:tr w:rsidR="00473AAD" w14:paraId="1898BFD5" w14:textId="54D15C7E" w:rsidTr="00473AAD">
        <w:trPr>
          <w:trHeight w:val="567"/>
        </w:trPr>
        <w:tc>
          <w:tcPr>
            <w:tcW w:w="3823" w:type="dxa"/>
            <w:vAlign w:val="center"/>
          </w:tcPr>
          <w:p w14:paraId="3DB4A1EE" w14:textId="77777777" w:rsidR="00473AAD" w:rsidRDefault="00473AAD" w:rsidP="008040E7"/>
        </w:tc>
        <w:tc>
          <w:tcPr>
            <w:tcW w:w="3402" w:type="dxa"/>
          </w:tcPr>
          <w:p w14:paraId="55B4EA98" w14:textId="77777777" w:rsidR="00473AAD" w:rsidRDefault="00473AAD"/>
        </w:tc>
        <w:tc>
          <w:tcPr>
            <w:tcW w:w="1791" w:type="dxa"/>
          </w:tcPr>
          <w:p w14:paraId="7ED629EF" w14:textId="77777777" w:rsidR="00473AAD" w:rsidRDefault="00473AAD"/>
        </w:tc>
      </w:tr>
      <w:tr w:rsidR="00473AAD" w14:paraId="1C6170C2" w14:textId="07F63FE7" w:rsidTr="00473AAD">
        <w:trPr>
          <w:trHeight w:val="567"/>
        </w:trPr>
        <w:tc>
          <w:tcPr>
            <w:tcW w:w="3823" w:type="dxa"/>
            <w:vAlign w:val="center"/>
          </w:tcPr>
          <w:p w14:paraId="37041676" w14:textId="77777777" w:rsidR="00473AAD" w:rsidRDefault="00473AAD" w:rsidP="008040E7"/>
        </w:tc>
        <w:tc>
          <w:tcPr>
            <w:tcW w:w="3402" w:type="dxa"/>
          </w:tcPr>
          <w:p w14:paraId="32DE7CAB" w14:textId="77777777" w:rsidR="00473AAD" w:rsidRDefault="00473AAD"/>
        </w:tc>
        <w:tc>
          <w:tcPr>
            <w:tcW w:w="1791" w:type="dxa"/>
          </w:tcPr>
          <w:p w14:paraId="0CFE2F14" w14:textId="77777777" w:rsidR="00473AAD" w:rsidRDefault="00473AAD"/>
        </w:tc>
      </w:tr>
      <w:tr w:rsidR="00473AAD" w14:paraId="61226005" w14:textId="50606964" w:rsidTr="00473AAD">
        <w:trPr>
          <w:trHeight w:val="567"/>
        </w:trPr>
        <w:tc>
          <w:tcPr>
            <w:tcW w:w="3823" w:type="dxa"/>
            <w:vAlign w:val="center"/>
          </w:tcPr>
          <w:p w14:paraId="612F84A3" w14:textId="77777777" w:rsidR="00473AAD" w:rsidRDefault="00473AAD" w:rsidP="008040E7"/>
        </w:tc>
        <w:tc>
          <w:tcPr>
            <w:tcW w:w="3402" w:type="dxa"/>
          </w:tcPr>
          <w:p w14:paraId="770049F6" w14:textId="77777777" w:rsidR="00473AAD" w:rsidRDefault="00473AAD"/>
        </w:tc>
        <w:tc>
          <w:tcPr>
            <w:tcW w:w="1791" w:type="dxa"/>
          </w:tcPr>
          <w:p w14:paraId="1DB81415" w14:textId="77777777" w:rsidR="00473AAD" w:rsidRDefault="00473AAD"/>
        </w:tc>
      </w:tr>
      <w:tr w:rsidR="00473AAD" w14:paraId="2D54FB73" w14:textId="00EAB1EB" w:rsidTr="00473AAD">
        <w:trPr>
          <w:trHeight w:val="567"/>
        </w:trPr>
        <w:tc>
          <w:tcPr>
            <w:tcW w:w="3823" w:type="dxa"/>
            <w:vAlign w:val="center"/>
          </w:tcPr>
          <w:p w14:paraId="7ECA912E" w14:textId="77777777" w:rsidR="00473AAD" w:rsidRDefault="00473AAD" w:rsidP="008040E7"/>
        </w:tc>
        <w:tc>
          <w:tcPr>
            <w:tcW w:w="3402" w:type="dxa"/>
          </w:tcPr>
          <w:p w14:paraId="3C308B18" w14:textId="77777777" w:rsidR="00473AAD" w:rsidRDefault="00473AAD"/>
        </w:tc>
        <w:tc>
          <w:tcPr>
            <w:tcW w:w="1791" w:type="dxa"/>
          </w:tcPr>
          <w:p w14:paraId="46B83C0B" w14:textId="77777777" w:rsidR="00473AAD" w:rsidRDefault="00473AAD"/>
        </w:tc>
      </w:tr>
      <w:tr w:rsidR="00473AAD" w14:paraId="15C40629" w14:textId="11AC3269" w:rsidTr="00473AAD">
        <w:trPr>
          <w:trHeight w:val="567"/>
        </w:trPr>
        <w:tc>
          <w:tcPr>
            <w:tcW w:w="3823" w:type="dxa"/>
            <w:vAlign w:val="center"/>
          </w:tcPr>
          <w:p w14:paraId="303F3B8D" w14:textId="77777777" w:rsidR="00473AAD" w:rsidRDefault="00473AAD" w:rsidP="008040E7"/>
        </w:tc>
        <w:tc>
          <w:tcPr>
            <w:tcW w:w="3402" w:type="dxa"/>
          </w:tcPr>
          <w:p w14:paraId="04DC62B9" w14:textId="77777777" w:rsidR="00473AAD" w:rsidRDefault="00473AAD"/>
        </w:tc>
        <w:tc>
          <w:tcPr>
            <w:tcW w:w="1791" w:type="dxa"/>
          </w:tcPr>
          <w:p w14:paraId="16169BCC" w14:textId="77777777" w:rsidR="00473AAD" w:rsidRDefault="00473AAD"/>
        </w:tc>
      </w:tr>
      <w:tr w:rsidR="00473AAD" w14:paraId="7777B8BE" w14:textId="5E5489BC" w:rsidTr="00473AAD">
        <w:trPr>
          <w:trHeight w:val="567"/>
        </w:trPr>
        <w:tc>
          <w:tcPr>
            <w:tcW w:w="3823" w:type="dxa"/>
            <w:vAlign w:val="center"/>
          </w:tcPr>
          <w:p w14:paraId="494623A5" w14:textId="77777777" w:rsidR="00473AAD" w:rsidRDefault="00473AAD" w:rsidP="008040E7"/>
        </w:tc>
        <w:tc>
          <w:tcPr>
            <w:tcW w:w="3402" w:type="dxa"/>
          </w:tcPr>
          <w:p w14:paraId="22D24397" w14:textId="77777777" w:rsidR="00473AAD" w:rsidRDefault="00473AAD"/>
        </w:tc>
        <w:tc>
          <w:tcPr>
            <w:tcW w:w="1791" w:type="dxa"/>
          </w:tcPr>
          <w:p w14:paraId="6C34D7F2" w14:textId="77777777" w:rsidR="00473AAD" w:rsidRDefault="00473AAD"/>
        </w:tc>
      </w:tr>
      <w:tr w:rsidR="00473AAD" w14:paraId="048B1728" w14:textId="77BDFDD3" w:rsidTr="00473AAD">
        <w:trPr>
          <w:trHeight w:val="567"/>
        </w:trPr>
        <w:tc>
          <w:tcPr>
            <w:tcW w:w="3823" w:type="dxa"/>
            <w:vAlign w:val="center"/>
          </w:tcPr>
          <w:p w14:paraId="2ACBF06E" w14:textId="77777777" w:rsidR="00473AAD" w:rsidRDefault="00473AAD" w:rsidP="008040E7"/>
        </w:tc>
        <w:tc>
          <w:tcPr>
            <w:tcW w:w="3402" w:type="dxa"/>
          </w:tcPr>
          <w:p w14:paraId="6CD36308" w14:textId="77777777" w:rsidR="00473AAD" w:rsidRDefault="00473AAD"/>
        </w:tc>
        <w:tc>
          <w:tcPr>
            <w:tcW w:w="1791" w:type="dxa"/>
          </w:tcPr>
          <w:p w14:paraId="4EBF8143" w14:textId="77777777" w:rsidR="00473AAD" w:rsidRDefault="00473AAD"/>
        </w:tc>
      </w:tr>
      <w:tr w:rsidR="00473AAD" w14:paraId="00581057" w14:textId="0B99D2EE" w:rsidTr="00473AAD">
        <w:trPr>
          <w:trHeight w:val="567"/>
        </w:trPr>
        <w:tc>
          <w:tcPr>
            <w:tcW w:w="3823" w:type="dxa"/>
            <w:vAlign w:val="center"/>
          </w:tcPr>
          <w:p w14:paraId="45007EA1" w14:textId="77777777" w:rsidR="00473AAD" w:rsidRDefault="00473AAD" w:rsidP="008040E7"/>
        </w:tc>
        <w:tc>
          <w:tcPr>
            <w:tcW w:w="3402" w:type="dxa"/>
          </w:tcPr>
          <w:p w14:paraId="3F06BB9B" w14:textId="77777777" w:rsidR="00473AAD" w:rsidRDefault="00473AAD"/>
        </w:tc>
        <w:tc>
          <w:tcPr>
            <w:tcW w:w="1791" w:type="dxa"/>
          </w:tcPr>
          <w:p w14:paraId="273D9D39" w14:textId="77777777" w:rsidR="00473AAD" w:rsidRDefault="00473AAD"/>
        </w:tc>
      </w:tr>
      <w:tr w:rsidR="00473AAD" w14:paraId="161831BA" w14:textId="18C4364C" w:rsidTr="00473AAD">
        <w:trPr>
          <w:trHeight w:val="567"/>
        </w:trPr>
        <w:tc>
          <w:tcPr>
            <w:tcW w:w="3823" w:type="dxa"/>
            <w:vAlign w:val="center"/>
          </w:tcPr>
          <w:p w14:paraId="3F242D6A" w14:textId="77777777" w:rsidR="00473AAD" w:rsidRDefault="00473AAD" w:rsidP="008040E7"/>
        </w:tc>
        <w:tc>
          <w:tcPr>
            <w:tcW w:w="3402" w:type="dxa"/>
          </w:tcPr>
          <w:p w14:paraId="69EF22D5" w14:textId="77777777" w:rsidR="00473AAD" w:rsidRDefault="00473AAD"/>
        </w:tc>
        <w:tc>
          <w:tcPr>
            <w:tcW w:w="1791" w:type="dxa"/>
          </w:tcPr>
          <w:p w14:paraId="3A63C2DD" w14:textId="77777777" w:rsidR="00473AAD" w:rsidRDefault="00473AAD"/>
        </w:tc>
      </w:tr>
      <w:tr w:rsidR="00473AAD" w14:paraId="535889BD" w14:textId="44F54D7C" w:rsidTr="00473AAD">
        <w:trPr>
          <w:trHeight w:val="567"/>
        </w:trPr>
        <w:tc>
          <w:tcPr>
            <w:tcW w:w="3823" w:type="dxa"/>
            <w:vAlign w:val="center"/>
          </w:tcPr>
          <w:p w14:paraId="26D2F9C7" w14:textId="77777777" w:rsidR="00473AAD" w:rsidRDefault="00473AAD" w:rsidP="008040E7"/>
        </w:tc>
        <w:tc>
          <w:tcPr>
            <w:tcW w:w="3402" w:type="dxa"/>
          </w:tcPr>
          <w:p w14:paraId="06C51F90" w14:textId="77777777" w:rsidR="00473AAD" w:rsidRDefault="00473AAD"/>
        </w:tc>
        <w:tc>
          <w:tcPr>
            <w:tcW w:w="1791" w:type="dxa"/>
          </w:tcPr>
          <w:p w14:paraId="11AA6F9B" w14:textId="77777777" w:rsidR="00473AAD" w:rsidRDefault="00473AAD"/>
        </w:tc>
      </w:tr>
      <w:tr w:rsidR="00473AAD" w14:paraId="7912AD25" w14:textId="6777DFEB" w:rsidTr="00473AAD">
        <w:trPr>
          <w:trHeight w:val="567"/>
        </w:trPr>
        <w:tc>
          <w:tcPr>
            <w:tcW w:w="3823" w:type="dxa"/>
            <w:vAlign w:val="center"/>
          </w:tcPr>
          <w:p w14:paraId="05AC00BC" w14:textId="77777777" w:rsidR="00473AAD" w:rsidRDefault="00473AAD" w:rsidP="008040E7"/>
        </w:tc>
        <w:tc>
          <w:tcPr>
            <w:tcW w:w="3402" w:type="dxa"/>
          </w:tcPr>
          <w:p w14:paraId="32A4D881" w14:textId="77777777" w:rsidR="00473AAD" w:rsidRDefault="00473AAD"/>
        </w:tc>
        <w:tc>
          <w:tcPr>
            <w:tcW w:w="1791" w:type="dxa"/>
          </w:tcPr>
          <w:p w14:paraId="7CD61B06" w14:textId="77777777" w:rsidR="00473AAD" w:rsidRDefault="00473AAD"/>
        </w:tc>
      </w:tr>
      <w:tr w:rsidR="00316444" w14:paraId="370A5715" w14:textId="77777777" w:rsidTr="00473AAD">
        <w:trPr>
          <w:trHeight w:val="567"/>
        </w:trPr>
        <w:tc>
          <w:tcPr>
            <w:tcW w:w="3823" w:type="dxa"/>
            <w:vAlign w:val="center"/>
          </w:tcPr>
          <w:p w14:paraId="52D78DA8" w14:textId="77777777" w:rsidR="00316444" w:rsidRDefault="00316444" w:rsidP="008040E7"/>
        </w:tc>
        <w:tc>
          <w:tcPr>
            <w:tcW w:w="3402" w:type="dxa"/>
          </w:tcPr>
          <w:p w14:paraId="32624E2F" w14:textId="77777777" w:rsidR="00316444" w:rsidRDefault="00316444"/>
        </w:tc>
        <w:tc>
          <w:tcPr>
            <w:tcW w:w="1791" w:type="dxa"/>
          </w:tcPr>
          <w:p w14:paraId="005E26FD" w14:textId="77777777" w:rsidR="00316444" w:rsidRDefault="00316444"/>
        </w:tc>
      </w:tr>
    </w:tbl>
    <w:p w14:paraId="10059EFE" w14:textId="1CDE2290" w:rsidR="005F69C0" w:rsidRPr="00E93A2D" w:rsidRDefault="00E93A2D" w:rsidP="00EB37EC">
      <w:pPr>
        <w:pStyle w:val="ListParagraph"/>
        <w:numPr>
          <w:ilvl w:val="0"/>
          <w:numId w:val="3"/>
        </w:numPr>
        <w:shd w:val="clear" w:color="auto" w:fill="DEEAF6" w:themeFill="accent5" w:themeFillTint="33"/>
        <w:jc w:val="center"/>
        <w:rPr>
          <w:b/>
          <w:bCs/>
          <w:sz w:val="28"/>
          <w:szCs w:val="28"/>
        </w:rPr>
      </w:pPr>
      <w:r w:rsidRPr="00E93A2D">
        <w:rPr>
          <w:b/>
          <w:bCs/>
          <w:noProof/>
          <w:sz w:val="28"/>
          <w:szCs w:val="28"/>
        </w:rPr>
        <mc:AlternateContent>
          <mc:Choice Requires="wps">
            <w:drawing>
              <wp:anchor distT="0" distB="0" distL="114300" distR="114300" simplePos="0" relativeHeight="251659264" behindDoc="1" locked="0" layoutInCell="1" allowOverlap="1" wp14:anchorId="1E99FD2F" wp14:editId="59D305F3">
                <wp:simplePos x="0" y="0"/>
                <wp:positionH relativeFrom="margin">
                  <wp:posOffset>-142875</wp:posOffset>
                </wp:positionH>
                <wp:positionV relativeFrom="paragraph">
                  <wp:posOffset>-34290</wp:posOffset>
                </wp:positionV>
                <wp:extent cx="5991225" cy="8610600"/>
                <wp:effectExtent l="0" t="0" r="28575" b="19050"/>
                <wp:wrapNone/>
                <wp:docPr id="1375622939" name="Rectangle 1"/>
                <wp:cNvGraphicFramePr/>
                <a:graphic xmlns:a="http://schemas.openxmlformats.org/drawingml/2006/main">
                  <a:graphicData uri="http://schemas.microsoft.com/office/word/2010/wordprocessingShape">
                    <wps:wsp>
                      <wps:cNvSpPr/>
                      <wps:spPr>
                        <a:xfrm>
                          <a:off x="0" y="0"/>
                          <a:ext cx="5991225" cy="8610600"/>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769D1" id="Rectangle 1" o:spid="_x0000_s1026" style="position:absolute;margin-left:-11.25pt;margin-top:-2.7pt;width:471.75pt;height:678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" fillcolor="#deeaf6 [664]" strokecolor="#09101d [484]" strokeweight="1pt">
                <w10:wrap anchorx="margin"/>
              </v:rect>
            </w:pict>
          </mc:Fallback>
        </mc:AlternateContent>
      </w:r>
      <w:r w:rsidR="005F69C0" w:rsidRPr="00E93A2D">
        <w:rPr>
          <w:b/>
          <w:bCs/>
          <w:sz w:val="28"/>
          <w:szCs w:val="28"/>
        </w:rPr>
        <w:t>Calendar Expectations – knowing where you are</w:t>
      </w:r>
      <w:r>
        <w:rPr>
          <w:b/>
          <w:bCs/>
          <w:sz w:val="28"/>
          <w:szCs w:val="28"/>
        </w:rPr>
        <w:t>.</w:t>
      </w:r>
    </w:p>
    <w:p w14:paraId="20C10641" w14:textId="54A1D031" w:rsidR="005F69C0" w:rsidRDefault="005F69C0" w:rsidP="005F69C0">
      <w:pPr>
        <w:jc w:val="both"/>
      </w:pPr>
      <w:r>
        <w:t>It is an expectation that your outlook calendar will be kept up to date with every visit, meeting and appointment you have during your working day. If there is an emergency this is where your colleagues/manager will go to look at where you are and how to get your help.</w:t>
      </w:r>
      <w:r w:rsidR="00E4294F">
        <w:t xml:space="preserve"> Appointments should be clearly showing who you are visiting and where.</w:t>
      </w:r>
    </w:p>
    <w:p w14:paraId="7AD93CF0" w14:textId="77777777" w:rsidR="005F69C0" w:rsidRDefault="005F69C0" w:rsidP="005F69C0">
      <w:r>
        <w:t xml:space="preserve">Share your calendar with your entire team as soon as you start setting up.  </w:t>
      </w:r>
    </w:p>
    <w:p w14:paraId="7B03B467" w14:textId="5FB494DA" w:rsidR="005F69C0" w:rsidRPr="000E5230" w:rsidRDefault="005F69C0" w:rsidP="005F69C0">
      <w:pPr>
        <w:rPr>
          <w:u w:val="single"/>
        </w:rPr>
      </w:pPr>
      <w:r>
        <w:rPr>
          <w:u w:val="single"/>
        </w:rPr>
        <w:t>How t</w:t>
      </w:r>
      <w:r w:rsidRPr="000E5230">
        <w:rPr>
          <w:u w:val="single"/>
        </w:rPr>
        <w:t xml:space="preserve">o </w:t>
      </w:r>
      <w:r w:rsidR="009A7100">
        <w:rPr>
          <w:u w:val="single"/>
        </w:rPr>
        <w:t>open someone’s</w:t>
      </w:r>
      <w:r w:rsidRPr="000E5230">
        <w:rPr>
          <w:u w:val="single"/>
        </w:rPr>
        <w:t xml:space="preserve"> calendar</w:t>
      </w:r>
    </w:p>
    <w:p w14:paraId="582CBEF0" w14:textId="77777777" w:rsidR="005F69C0" w:rsidRDefault="005F69C0" w:rsidP="005F69C0">
      <w:r>
        <w:t xml:space="preserve">Go to Calendar in Outlook </w:t>
      </w:r>
    </w:p>
    <w:p w14:paraId="47A5F034" w14:textId="77777777" w:rsidR="005F69C0" w:rsidRDefault="005F69C0" w:rsidP="005F69C0">
      <w:r>
        <w:t>Click on ‘+ Add Calendar’</w:t>
      </w:r>
    </w:p>
    <w:p w14:paraId="128B33E1" w14:textId="53462F18" w:rsidR="0084463E" w:rsidRDefault="0084463E" w:rsidP="005F69C0">
      <w:r>
        <w:rPr>
          <w:noProof/>
        </w:rPr>
        <w:drawing>
          <wp:inline distT="0" distB="0" distL="0" distR="0" wp14:anchorId="46897E97" wp14:editId="78A04B82">
            <wp:extent cx="5746750" cy="751205"/>
            <wp:effectExtent l="0" t="0" r="6350" b="0"/>
            <wp:docPr id="1509112503" name="Picture 1" descr="A yellow mark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12503" name="Picture 1" descr="A yellow marker on a white background&#10;&#10;Description automatically generated"/>
                    <pic:cNvPicPr/>
                  </pic:nvPicPr>
                  <pic:blipFill>
                    <a:blip r:embed="rId7"/>
                    <a:stretch>
                      <a:fillRect/>
                    </a:stretch>
                  </pic:blipFill>
                  <pic:spPr>
                    <a:xfrm>
                      <a:off x="0" y="0"/>
                      <a:ext cx="5746750" cy="751205"/>
                    </a:xfrm>
                    <a:prstGeom prst="rect">
                      <a:avLst/>
                    </a:prstGeom>
                  </pic:spPr>
                </pic:pic>
              </a:graphicData>
            </a:graphic>
          </wp:inline>
        </w:drawing>
      </w:r>
    </w:p>
    <w:p w14:paraId="43FCCDC3" w14:textId="77777777" w:rsidR="005F69C0" w:rsidRDefault="005F69C0" w:rsidP="005F69C0">
      <w:r>
        <w:t xml:space="preserve">Click on ‘From Address Book…’ (from the drop down) </w:t>
      </w:r>
    </w:p>
    <w:p w14:paraId="546E87A2" w14:textId="3849B238" w:rsidR="005F69C0" w:rsidRDefault="005F69C0" w:rsidP="005F69C0">
      <w:r>
        <w:t>Add colleagues name in to Search bar and click on name, click OK.</w:t>
      </w:r>
      <w:r w:rsidR="00C17832">
        <w:t xml:space="preserve"> Check the detail is visible on appointments, if not they will need to adjust their sharing settings.</w:t>
      </w:r>
      <w:r>
        <w:t xml:space="preserve"> </w:t>
      </w:r>
    </w:p>
    <w:p w14:paraId="4DE4A439" w14:textId="5569EC35" w:rsidR="009A7100" w:rsidRDefault="009A7100" w:rsidP="009A7100">
      <w:pPr>
        <w:rPr>
          <w:u w:val="single"/>
        </w:rPr>
      </w:pPr>
      <w:r w:rsidRPr="0084463E">
        <w:rPr>
          <w:u w:val="single"/>
        </w:rPr>
        <w:t>How to ensure your calendar is visible</w:t>
      </w:r>
    </w:p>
    <w:p w14:paraId="61499E64" w14:textId="29E3DFCD" w:rsidR="0084463E" w:rsidRDefault="0084463E" w:rsidP="009A7100">
      <w:r>
        <w:t>Go to Calendar in Outlook</w:t>
      </w:r>
    </w:p>
    <w:p w14:paraId="6E835195" w14:textId="6FCF6D4E" w:rsidR="0084463E" w:rsidRDefault="0084463E" w:rsidP="009A7100">
      <w:r>
        <w:t>Click on ‘Share Calendar’</w:t>
      </w:r>
    </w:p>
    <w:p w14:paraId="6BFCE994" w14:textId="15131C54" w:rsidR="0084463E" w:rsidRDefault="0084463E" w:rsidP="009A7100">
      <w:r>
        <w:rPr>
          <w:noProof/>
        </w:rPr>
        <w:drawing>
          <wp:inline distT="0" distB="0" distL="0" distR="0" wp14:anchorId="193288BA" wp14:editId="4B92B474">
            <wp:extent cx="5746750" cy="725170"/>
            <wp:effectExtent l="0" t="0" r="6350" b="0"/>
            <wp:docPr id="11876032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03213" name="Picture 1" descr="A screenshot of a computer&#10;&#10;Description automatically generated"/>
                    <pic:cNvPicPr/>
                  </pic:nvPicPr>
                  <pic:blipFill>
                    <a:blip r:embed="rId8"/>
                    <a:stretch>
                      <a:fillRect/>
                    </a:stretch>
                  </pic:blipFill>
                  <pic:spPr>
                    <a:xfrm>
                      <a:off x="0" y="0"/>
                      <a:ext cx="5746750" cy="725170"/>
                    </a:xfrm>
                    <a:prstGeom prst="rect">
                      <a:avLst/>
                    </a:prstGeom>
                  </pic:spPr>
                </pic:pic>
              </a:graphicData>
            </a:graphic>
          </wp:inline>
        </w:drawing>
      </w:r>
    </w:p>
    <w:p w14:paraId="08668518" w14:textId="14358069" w:rsidR="0084463E" w:rsidRPr="000E5230" w:rsidRDefault="0084463E" w:rsidP="009A7100">
      <w:pPr>
        <w:rPr>
          <w:u w:val="single"/>
        </w:rPr>
      </w:pPr>
      <w:r>
        <w:t>Ensure “my organisation” is set to view detail and not just seeing when busy.</w:t>
      </w:r>
    </w:p>
    <w:p w14:paraId="4ED37B7F" w14:textId="7F176839" w:rsidR="009A7100" w:rsidRDefault="0084463E" w:rsidP="009A7100">
      <w:r>
        <w:rPr>
          <w:noProof/>
        </w:rPr>
        <w:drawing>
          <wp:inline distT="0" distB="0" distL="0" distR="0" wp14:anchorId="40065C6D" wp14:editId="504F15FB">
            <wp:extent cx="1971675" cy="2219425"/>
            <wp:effectExtent l="0" t="0" r="0" b="9525"/>
            <wp:docPr id="145755892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58924" name="Picture 1" descr="A screenshot of a computer screen&#10;&#10;Description automatically generated"/>
                    <pic:cNvPicPr/>
                  </pic:nvPicPr>
                  <pic:blipFill>
                    <a:blip r:embed="rId9"/>
                    <a:stretch>
                      <a:fillRect/>
                    </a:stretch>
                  </pic:blipFill>
                  <pic:spPr>
                    <a:xfrm>
                      <a:off x="0" y="0"/>
                      <a:ext cx="1976677" cy="2225055"/>
                    </a:xfrm>
                    <a:prstGeom prst="rect">
                      <a:avLst/>
                    </a:prstGeom>
                  </pic:spPr>
                </pic:pic>
              </a:graphicData>
            </a:graphic>
          </wp:inline>
        </w:drawing>
      </w:r>
    </w:p>
    <w:p w14:paraId="7DE1E326" w14:textId="77777777" w:rsidR="009A7100" w:rsidRDefault="009A7100" w:rsidP="005F69C0"/>
    <w:p w14:paraId="30BA1217" w14:textId="77777777" w:rsidR="009A7100" w:rsidRDefault="009A7100" w:rsidP="005F69C0"/>
    <w:p w14:paraId="69CCB7CB" w14:textId="77777777" w:rsidR="009A7100" w:rsidRDefault="009A7100" w:rsidP="005F69C0"/>
    <w:p w14:paraId="035D71F3" w14:textId="34F0469B" w:rsidR="005F69C0" w:rsidRDefault="005F69C0" w:rsidP="005F69C0"/>
    <w:p w14:paraId="3D60389B" w14:textId="00D17FE7" w:rsidR="005F69C0" w:rsidRPr="00E93A2D" w:rsidRDefault="0084463E" w:rsidP="00E93A2D">
      <w:pPr>
        <w:pStyle w:val="ListParagraph"/>
        <w:numPr>
          <w:ilvl w:val="0"/>
          <w:numId w:val="3"/>
        </w:numPr>
        <w:jc w:val="center"/>
        <w:rPr>
          <w:b/>
          <w:bCs/>
          <w:sz w:val="28"/>
          <w:szCs w:val="28"/>
        </w:rPr>
      </w:pPr>
      <w:r>
        <w:rPr>
          <w:b/>
          <w:bCs/>
          <w:noProof/>
          <w:sz w:val="24"/>
          <w:szCs w:val="24"/>
        </w:rPr>
        <mc:AlternateContent>
          <mc:Choice Requires="wps">
            <w:drawing>
              <wp:anchor distT="0" distB="0" distL="114300" distR="114300" simplePos="0" relativeHeight="251661312" behindDoc="1" locked="0" layoutInCell="1" allowOverlap="1" wp14:anchorId="46A0A132" wp14:editId="47935D1D">
                <wp:simplePos x="0" y="0"/>
                <wp:positionH relativeFrom="margin">
                  <wp:posOffset>-142875</wp:posOffset>
                </wp:positionH>
                <wp:positionV relativeFrom="paragraph">
                  <wp:posOffset>-129540</wp:posOffset>
                </wp:positionV>
                <wp:extent cx="5991225" cy="4371975"/>
                <wp:effectExtent l="0" t="0" r="28575" b="28575"/>
                <wp:wrapNone/>
                <wp:docPr id="882189330" name="Rectangle 1"/>
                <wp:cNvGraphicFramePr/>
                <a:graphic xmlns:a="http://schemas.openxmlformats.org/drawingml/2006/main">
                  <a:graphicData uri="http://schemas.microsoft.com/office/word/2010/wordprocessingShape">
                    <wps:wsp>
                      <wps:cNvSpPr/>
                      <wps:spPr>
                        <a:xfrm>
                          <a:off x="0" y="0"/>
                          <a:ext cx="5991225" cy="4371975"/>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2F967" id="Rectangle 1" o:spid="_x0000_s1026" style="position:absolute;margin-left:-11.25pt;margin-top:-10.2pt;width:471.75pt;height:344.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" fillcolor="#deeaf6 [664]" strokecolor="#09101d [484]" strokeweight="1pt">
                <w10:wrap anchorx="margin"/>
              </v:rect>
            </w:pict>
          </mc:Fallback>
        </mc:AlternateContent>
      </w:r>
      <w:r w:rsidR="005F69C0" w:rsidRPr="00E93A2D">
        <w:rPr>
          <w:b/>
          <w:bCs/>
          <w:sz w:val="28"/>
          <w:szCs w:val="28"/>
        </w:rPr>
        <w:t>Next of kin – knowing who to contact</w:t>
      </w:r>
      <w:r w:rsidR="00E93A2D">
        <w:rPr>
          <w:b/>
          <w:bCs/>
          <w:sz w:val="28"/>
          <w:szCs w:val="28"/>
        </w:rPr>
        <w:t>.</w:t>
      </w:r>
    </w:p>
    <w:p w14:paraId="2F6862EF" w14:textId="461E1D94" w:rsidR="005F69C0" w:rsidRPr="00211270" w:rsidRDefault="005F69C0" w:rsidP="005F69C0">
      <w:r>
        <w:t xml:space="preserve">You will be asked for your Next of Kin details when you start; it is essential for your safety that you keep these up to date with </w:t>
      </w:r>
      <w:r w:rsidRPr="00AE577E">
        <w:rPr>
          <w:b/>
          <w:bCs/>
        </w:rPr>
        <w:t>any</w:t>
      </w:r>
      <w:r>
        <w:t xml:space="preserve"> changes. You must also make any updates to your next of kin on SAP – this is your responsibility.  These are essential for your safety</w:t>
      </w:r>
      <w:r w:rsidR="007D4381">
        <w:t>.</w:t>
      </w:r>
    </w:p>
    <w:p w14:paraId="192EA429" w14:textId="6D5F8A8C" w:rsidR="005F69C0" w:rsidRPr="00AE577E" w:rsidRDefault="005F69C0" w:rsidP="005F69C0">
      <w:pPr>
        <w:rPr>
          <w:u w:val="single"/>
        </w:rPr>
      </w:pPr>
      <w:r w:rsidRPr="00AE577E">
        <w:rPr>
          <w:u w:val="single"/>
        </w:rPr>
        <w:t xml:space="preserve">How to change Next of Kin on SAP – </w:t>
      </w:r>
    </w:p>
    <w:p w14:paraId="2D5C7F67" w14:textId="180E3A92" w:rsidR="005F69C0" w:rsidRPr="00927ECE" w:rsidRDefault="005F69C0" w:rsidP="005F69C0">
      <w:pPr>
        <w:rPr>
          <w:b/>
          <w:bCs/>
        </w:rPr>
      </w:pPr>
      <w:r w:rsidRPr="00927ECE">
        <w:t xml:space="preserve">Go to SAP through the desktop button </w:t>
      </w:r>
      <w:r w:rsidRPr="00927ECE">
        <w:rPr>
          <w:b/>
          <w:bCs/>
        </w:rPr>
        <w:t>SAP Portal</w:t>
      </w:r>
    </w:p>
    <w:p w14:paraId="50906956" w14:textId="77777777" w:rsidR="005F69C0" w:rsidRDefault="005F69C0" w:rsidP="005F69C0">
      <w:r>
        <w:t>Click on Employee Self-Service</w:t>
      </w:r>
    </w:p>
    <w:p w14:paraId="4F25D6B1" w14:textId="77777777" w:rsidR="005F69C0" w:rsidRPr="00927ECE" w:rsidRDefault="005F69C0" w:rsidP="005F69C0">
      <w:r>
        <w:t xml:space="preserve">Click on Personal Information and then fill in the changes needed on the Personal Details Form. </w:t>
      </w:r>
    </w:p>
    <w:p w14:paraId="664A5E8E" w14:textId="77777777" w:rsidR="005F69C0" w:rsidRDefault="005F69C0" w:rsidP="005F69C0">
      <w:pPr>
        <w:rPr>
          <w:b/>
          <w:bCs/>
          <w:u w:val="single"/>
        </w:rPr>
      </w:pPr>
      <w:r w:rsidRPr="00927ECE">
        <w:rPr>
          <w:noProof/>
        </w:rPr>
        <w:drawing>
          <wp:inline distT="0" distB="0" distL="0" distR="0" wp14:anchorId="761488D2" wp14:editId="0CD1C871">
            <wp:extent cx="5731510" cy="1560830"/>
            <wp:effectExtent l="0" t="0" r="2540" b="1270"/>
            <wp:docPr id="8968711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71132" name="Picture 1" descr="A screenshot of a computer&#10;&#10;Description automatically generated"/>
                    <pic:cNvPicPr/>
                  </pic:nvPicPr>
                  <pic:blipFill>
                    <a:blip r:embed="rId10"/>
                    <a:stretch>
                      <a:fillRect/>
                    </a:stretch>
                  </pic:blipFill>
                  <pic:spPr>
                    <a:xfrm>
                      <a:off x="0" y="0"/>
                      <a:ext cx="5731510" cy="1560830"/>
                    </a:xfrm>
                    <a:prstGeom prst="rect">
                      <a:avLst/>
                    </a:prstGeom>
                  </pic:spPr>
                </pic:pic>
              </a:graphicData>
            </a:graphic>
          </wp:inline>
        </w:drawing>
      </w:r>
    </w:p>
    <w:p w14:paraId="4E1A6505" w14:textId="7880B2FE" w:rsidR="005F69C0" w:rsidRDefault="00E15EC1" w:rsidP="005F69C0">
      <w:r w:rsidRPr="00E15EC1">
        <w:t xml:space="preserve">If you are not </w:t>
      </w:r>
      <w:proofErr w:type="gramStart"/>
      <w:r w:rsidRPr="00E15EC1">
        <w:t>a</w:t>
      </w:r>
      <w:proofErr w:type="gramEnd"/>
      <w:r w:rsidRPr="00E15EC1">
        <w:t xml:space="preserve"> SAP user (e.g. agency worker) then you will need to completed a NOK Form and return to your manager.</w:t>
      </w:r>
    </w:p>
    <w:p w14:paraId="3142BD95" w14:textId="20C0EAD6" w:rsidR="0084463E" w:rsidRPr="00E15EC1" w:rsidRDefault="0084463E" w:rsidP="005F69C0">
      <w:r>
        <w:rPr>
          <w:b/>
          <w:bCs/>
          <w:noProof/>
          <w:sz w:val="24"/>
          <w:szCs w:val="24"/>
        </w:rPr>
        <mc:AlternateContent>
          <mc:Choice Requires="wps">
            <w:drawing>
              <wp:anchor distT="0" distB="0" distL="114300" distR="114300" simplePos="0" relativeHeight="251663360" behindDoc="1" locked="0" layoutInCell="1" allowOverlap="1" wp14:anchorId="3EC0359B" wp14:editId="4B21F0F2">
                <wp:simplePos x="0" y="0"/>
                <wp:positionH relativeFrom="margin">
                  <wp:posOffset>-152400</wp:posOffset>
                </wp:positionH>
                <wp:positionV relativeFrom="paragraph">
                  <wp:posOffset>220979</wp:posOffset>
                </wp:positionV>
                <wp:extent cx="5991225" cy="4810125"/>
                <wp:effectExtent l="0" t="0" r="28575" b="28575"/>
                <wp:wrapNone/>
                <wp:docPr id="985706996" name="Rectangle 1"/>
                <wp:cNvGraphicFramePr/>
                <a:graphic xmlns:a="http://schemas.openxmlformats.org/drawingml/2006/main">
                  <a:graphicData uri="http://schemas.microsoft.com/office/word/2010/wordprocessingShape">
                    <wps:wsp>
                      <wps:cNvSpPr/>
                      <wps:spPr>
                        <a:xfrm>
                          <a:off x="0" y="0"/>
                          <a:ext cx="5991225" cy="4810125"/>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44768" id="Rectangle 1" o:spid="_x0000_s1026" style="position:absolute;margin-left:-12pt;margin-top:17.4pt;width:471.75pt;height:378.7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" fillcolor="#deeaf6 [664]" strokecolor="#09101d [484]" strokeweight="1pt">
                <w10:wrap anchorx="margin"/>
              </v:rect>
            </w:pict>
          </mc:Fallback>
        </mc:AlternateContent>
      </w:r>
    </w:p>
    <w:p w14:paraId="62F229D6" w14:textId="5946775F" w:rsidR="00E15EC1" w:rsidRPr="00E93A2D" w:rsidRDefault="00316444" w:rsidP="00E93A2D">
      <w:pPr>
        <w:pStyle w:val="ListParagraph"/>
        <w:numPr>
          <w:ilvl w:val="0"/>
          <w:numId w:val="3"/>
        </w:numPr>
        <w:jc w:val="center"/>
        <w:rPr>
          <w:b/>
          <w:bCs/>
          <w:sz w:val="28"/>
          <w:szCs w:val="28"/>
        </w:rPr>
      </w:pPr>
      <w:r>
        <w:rPr>
          <w:b/>
          <w:bCs/>
          <w:sz w:val="28"/>
          <w:szCs w:val="28"/>
        </w:rPr>
        <w:t xml:space="preserve">Planning &amp; </w:t>
      </w:r>
      <w:r w:rsidR="00E15EC1" w:rsidRPr="00E93A2D">
        <w:rPr>
          <w:b/>
          <w:bCs/>
          <w:sz w:val="28"/>
          <w:szCs w:val="28"/>
        </w:rPr>
        <w:t>Personal Safety – keeping ourselves safe</w:t>
      </w:r>
      <w:r w:rsidR="00E93A2D">
        <w:rPr>
          <w:b/>
          <w:bCs/>
          <w:sz w:val="28"/>
          <w:szCs w:val="28"/>
        </w:rPr>
        <w:t>.</w:t>
      </w:r>
    </w:p>
    <w:p w14:paraId="6B5E996E" w14:textId="4EB7A60A" w:rsidR="0084463E" w:rsidRDefault="00E15EC1" w:rsidP="00E93A2D">
      <w:pPr>
        <w:jc w:val="both"/>
      </w:pPr>
      <w:r>
        <w:t>This is a reminder that taking personal accountability for your safety is crucial. As well as ensuring your calendar is up to date</w:t>
      </w:r>
      <w:r w:rsidR="00953F47">
        <w:t>,</w:t>
      </w:r>
      <w:r>
        <w:t xml:space="preserve"> remember to tell someone if you are going on a visit. </w:t>
      </w:r>
      <w:r w:rsidR="00771A23">
        <w:t xml:space="preserve">Be prepared and have a response plan in mind for any risks you may encounter, such as uncooperative or aggressive behaviour, dogs in the home, anyone under the influence of alcohol/drugs, racist or other discriminative behaviour, unexpected family members or visitors at the visit, etc.  </w:t>
      </w:r>
      <w:r>
        <w:t>Make sure you are keeping your phone on you and charged and following the agreed procedures for your team</w:t>
      </w:r>
      <w:r w:rsidR="008040E7">
        <w:t xml:space="preserve"> so we know when you are safe and when we should be concerned.</w:t>
      </w:r>
      <w:r w:rsidR="00F645DF">
        <w:t xml:space="preserve"> </w:t>
      </w:r>
    </w:p>
    <w:p w14:paraId="4D5EE93C" w14:textId="43061C1D" w:rsidR="0084463E" w:rsidRDefault="0084463E" w:rsidP="00E93A2D">
      <w:pPr>
        <w:jc w:val="both"/>
      </w:pPr>
      <w:r>
        <w:t>Before any visits you are worried about discuss with your manager and complete a risk assessment on the family. Consider any existing factors you know about the family and the community area you are visiting. As part of this you should discuss if a joint visit is appropriate with a colleague.</w:t>
      </w:r>
    </w:p>
    <w:p w14:paraId="38B38647" w14:textId="545F697C" w:rsidR="008040E7" w:rsidRDefault="00F645DF" w:rsidP="00E93A2D">
      <w:pPr>
        <w:jc w:val="both"/>
      </w:pPr>
      <w:r w:rsidRPr="009A7100">
        <w:rPr>
          <w:b/>
          <w:bCs/>
        </w:rPr>
        <w:t>If you are taking your own car on a visit then ensure your team knows the details (registration, make, colour)</w:t>
      </w:r>
      <w:r>
        <w:t>.</w:t>
      </w:r>
    </w:p>
    <w:p w14:paraId="76F7B3FE" w14:textId="068BD661" w:rsidR="004B1F8E" w:rsidRDefault="004B1F8E" w:rsidP="00E93A2D">
      <w:pPr>
        <w:jc w:val="both"/>
      </w:pPr>
      <w:r>
        <w:t>Any specific agreements for your team should be noted below</w:t>
      </w:r>
      <w:r w:rsidR="00771A23">
        <w:t>:</w:t>
      </w:r>
    </w:p>
    <w:tbl>
      <w:tblPr>
        <w:tblStyle w:val="TableGrid"/>
        <w:tblW w:w="0" w:type="auto"/>
        <w:tblLook w:val="04A0" w:firstRow="1" w:lastRow="0" w:firstColumn="1" w:lastColumn="0" w:noHBand="0" w:noVBand="1"/>
      </w:tblPr>
      <w:tblGrid>
        <w:gridCol w:w="9016"/>
      </w:tblGrid>
      <w:tr w:rsidR="004B1F8E" w14:paraId="1A4982BF" w14:textId="77777777" w:rsidTr="00316444">
        <w:trPr>
          <w:trHeight w:val="2041"/>
        </w:trPr>
        <w:tc>
          <w:tcPr>
            <w:tcW w:w="9016" w:type="dxa"/>
            <w:shd w:val="clear" w:color="auto" w:fill="FFFFFF" w:themeFill="background1"/>
          </w:tcPr>
          <w:p w14:paraId="65A5876E" w14:textId="1B36B59F" w:rsidR="004B1F8E" w:rsidRDefault="004B1F8E" w:rsidP="00E93A2D">
            <w:pPr>
              <w:jc w:val="both"/>
            </w:pPr>
            <w:r>
              <w:t xml:space="preserve">All team members </w:t>
            </w:r>
            <w:proofErr w:type="gramStart"/>
            <w:r>
              <w:t>will..</w:t>
            </w:r>
            <w:proofErr w:type="gramEnd"/>
          </w:p>
        </w:tc>
      </w:tr>
    </w:tbl>
    <w:p w14:paraId="04690E83" w14:textId="77777777" w:rsidR="009A7100" w:rsidRDefault="009A7100" w:rsidP="00E93A2D">
      <w:pPr>
        <w:jc w:val="both"/>
      </w:pPr>
    </w:p>
    <w:p w14:paraId="47FBA21F" w14:textId="02C3ECF3" w:rsidR="008040E7" w:rsidRPr="004B1F8E" w:rsidRDefault="008040E7" w:rsidP="00316444">
      <w:pPr>
        <w:jc w:val="both"/>
        <w:rPr>
          <w:sz w:val="2"/>
          <w:szCs w:val="2"/>
        </w:rPr>
      </w:pPr>
    </w:p>
    <w:p w14:paraId="6D4AC8A9" w14:textId="6F80536E" w:rsidR="008040E7" w:rsidRPr="00E93A2D" w:rsidRDefault="00316444" w:rsidP="00E93A2D">
      <w:pPr>
        <w:pStyle w:val="ListParagraph"/>
        <w:numPr>
          <w:ilvl w:val="0"/>
          <w:numId w:val="3"/>
        </w:numPr>
        <w:jc w:val="center"/>
        <w:rPr>
          <w:b/>
          <w:bCs/>
          <w:sz w:val="28"/>
          <w:szCs w:val="28"/>
        </w:rPr>
      </w:pPr>
      <w:r>
        <w:rPr>
          <w:b/>
          <w:bCs/>
          <w:noProof/>
          <w:sz w:val="24"/>
          <w:szCs w:val="24"/>
        </w:rPr>
        <mc:AlternateContent>
          <mc:Choice Requires="wps">
            <w:drawing>
              <wp:anchor distT="0" distB="0" distL="114300" distR="114300" simplePos="0" relativeHeight="251667456" behindDoc="1" locked="0" layoutInCell="1" allowOverlap="1" wp14:anchorId="2B676475" wp14:editId="39839996">
                <wp:simplePos x="0" y="0"/>
                <wp:positionH relativeFrom="margin">
                  <wp:posOffset>-133350</wp:posOffset>
                </wp:positionH>
                <wp:positionV relativeFrom="paragraph">
                  <wp:posOffset>-177165</wp:posOffset>
                </wp:positionV>
                <wp:extent cx="5991225" cy="2800350"/>
                <wp:effectExtent l="0" t="0" r="28575" b="19050"/>
                <wp:wrapNone/>
                <wp:docPr id="436451299" name="Rectangle 1"/>
                <wp:cNvGraphicFramePr/>
                <a:graphic xmlns:a="http://schemas.openxmlformats.org/drawingml/2006/main">
                  <a:graphicData uri="http://schemas.microsoft.com/office/word/2010/wordprocessingShape">
                    <wps:wsp>
                      <wps:cNvSpPr/>
                      <wps:spPr>
                        <a:xfrm>
                          <a:off x="0" y="0"/>
                          <a:ext cx="5991225" cy="2800350"/>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BC8EB" id="Rectangle 1" o:spid="_x0000_s1026" style="position:absolute;margin-left:-10.5pt;margin-top:-13.95pt;width:471.75pt;height:220.5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" fillcolor="#deeaf6 [664]" strokecolor="#09101d [484]" strokeweight="1pt">
                <w10:wrap anchorx="margin"/>
              </v:rect>
            </w:pict>
          </mc:Fallback>
        </mc:AlternateContent>
      </w:r>
      <w:r w:rsidR="002B381C">
        <w:rPr>
          <w:b/>
          <w:bCs/>
          <w:sz w:val="28"/>
          <w:szCs w:val="28"/>
        </w:rPr>
        <w:t>Checking in</w:t>
      </w:r>
      <w:r w:rsidR="00E93A2D">
        <w:rPr>
          <w:b/>
          <w:bCs/>
          <w:sz w:val="28"/>
          <w:szCs w:val="28"/>
        </w:rPr>
        <w:t>.</w:t>
      </w:r>
    </w:p>
    <w:p w14:paraId="688B4E38" w14:textId="07A12879" w:rsidR="002B381C" w:rsidRDefault="008040E7" w:rsidP="00E93A2D">
      <w:pPr>
        <w:jc w:val="both"/>
      </w:pPr>
      <w:r>
        <w:t>It is critical that we have an agreed approach to checking in after a visit to confirm you are safe. This may include use of WhatsApp groups or having a named manager or buddy to check in with. The process for your team should be outlined below. This is not a process for tracking staff locations but is for providing a way to keep you safe.</w:t>
      </w:r>
      <w:r w:rsidR="00E93A2D" w:rsidRPr="00E93A2D">
        <w:rPr>
          <w:b/>
          <w:bCs/>
          <w:noProof/>
          <w:sz w:val="24"/>
          <w:szCs w:val="24"/>
        </w:rPr>
        <w:t xml:space="preserve"> </w:t>
      </w:r>
    </w:p>
    <w:tbl>
      <w:tblPr>
        <w:tblStyle w:val="TableGrid"/>
        <w:tblW w:w="0" w:type="auto"/>
        <w:tblLook w:val="04A0" w:firstRow="1" w:lastRow="0" w:firstColumn="1" w:lastColumn="0" w:noHBand="0" w:noVBand="1"/>
      </w:tblPr>
      <w:tblGrid>
        <w:gridCol w:w="9016"/>
      </w:tblGrid>
      <w:tr w:rsidR="008040E7" w14:paraId="6DF8A302" w14:textId="77777777" w:rsidTr="002B381C">
        <w:trPr>
          <w:trHeight w:val="1984"/>
        </w:trPr>
        <w:tc>
          <w:tcPr>
            <w:tcW w:w="9016" w:type="dxa"/>
            <w:shd w:val="clear" w:color="auto" w:fill="FFFFFF" w:themeFill="background1"/>
          </w:tcPr>
          <w:p w14:paraId="57A848AB" w14:textId="482F17DD" w:rsidR="008040E7" w:rsidRDefault="004B1F8E" w:rsidP="008040E7">
            <w:r>
              <w:t>In our team we…</w:t>
            </w:r>
          </w:p>
        </w:tc>
      </w:tr>
    </w:tbl>
    <w:p w14:paraId="6BCD9CDF" w14:textId="2FC1FDBA" w:rsidR="008040E7" w:rsidRPr="00F645DF" w:rsidRDefault="008040E7" w:rsidP="008040E7">
      <w:pPr>
        <w:rPr>
          <w:sz w:val="8"/>
          <w:szCs w:val="8"/>
        </w:rPr>
      </w:pPr>
    </w:p>
    <w:p w14:paraId="3A8E2C72" w14:textId="402F9F6A" w:rsidR="00E93A2D" w:rsidRDefault="00316444" w:rsidP="008040E7">
      <w:r>
        <w:rPr>
          <w:b/>
          <w:bCs/>
          <w:noProof/>
          <w:sz w:val="24"/>
          <w:szCs w:val="24"/>
        </w:rPr>
        <mc:AlternateContent>
          <mc:Choice Requires="wps">
            <w:drawing>
              <wp:anchor distT="0" distB="0" distL="114300" distR="114300" simplePos="0" relativeHeight="251669504" behindDoc="1" locked="0" layoutInCell="1" allowOverlap="1" wp14:anchorId="53B3DE71" wp14:editId="4A28BD39">
                <wp:simplePos x="0" y="0"/>
                <wp:positionH relativeFrom="margin">
                  <wp:posOffset>-136478</wp:posOffset>
                </wp:positionH>
                <wp:positionV relativeFrom="paragraph">
                  <wp:posOffset>134990</wp:posOffset>
                </wp:positionV>
                <wp:extent cx="5991225" cy="3957850"/>
                <wp:effectExtent l="0" t="0" r="28575" b="24130"/>
                <wp:wrapNone/>
                <wp:docPr id="879124474" name="Rectangle 1"/>
                <wp:cNvGraphicFramePr/>
                <a:graphic xmlns:a="http://schemas.openxmlformats.org/drawingml/2006/main">
                  <a:graphicData uri="http://schemas.microsoft.com/office/word/2010/wordprocessingShape">
                    <wps:wsp>
                      <wps:cNvSpPr/>
                      <wps:spPr>
                        <a:xfrm>
                          <a:off x="0" y="0"/>
                          <a:ext cx="5991225" cy="3957850"/>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52CF5" id="Rectangle 1" o:spid="_x0000_s1026" style="position:absolute;margin-left:-10.75pt;margin-top:10.65pt;width:471.75pt;height:311.6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" fillcolor="#deeaf6 [664]" strokecolor="#09101d [484]" strokeweight="1pt">
                <w10:wrap anchorx="margin"/>
              </v:rect>
            </w:pict>
          </mc:Fallback>
        </mc:AlternateContent>
      </w:r>
    </w:p>
    <w:p w14:paraId="4A07FD10" w14:textId="406E2BEF" w:rsidR="008040E7" w:rsidRPr="00E93A2D" w:rsidRDefault="008040E7" w:rsidP="00E93A2D">
      <w:pPr>
        <w:pStyle w:val="ListParagraph"/>
        <w:numPr>
          <w:ilvl w:val="0"/>
          <w:numId w:val="3"/>
        </w:numPr>
        <w:jc w:val="center"/>
        <w:rPr>
          <w:b/>
          <w:bCs/>
          <w:sz w:val="28"/>
          <w:szCs w:val="28"/>
        </w:rPr>
      </w:pPr>
      <w:r w:rsidRPr="00E93A2D">
        <w:rPr>
          <w:b/>
          <w:bCs/>
          <w:sz w:val="28"/>
          <w:szCs w:val="28"/>
        </w:rPr>
        <w:t>Calling for help – knowing what to do if something goes wrong</w:t>
      </w:r>
      <w:r w:rsidR="00E93A2D">
        <w:rPr>
          <w:b/>
          <w:bCs/>
          <w:sz w:val="28"/>
          <w:szCs w:val="28"/>
        </w:rPr>
        <w:t>.</w:t>
      </w:r>
    </w:p>
    <w:p w14:paraId="6F4ACE1B" w14:textId="1A58FD4A" w:rsidR="004B1F8E" w:rsidRDefault="008040E7" w:rsidP="008040E7">
      <w:pPr>
        <w:jc w:val="both"/>
      </w:pPr>
      <w:r>
        <w:t>If at any time you are in a visit and need 999 Emergency help but cannot call to ask for this specifically,</w:t>
      </w:r>
      <w:r w:rsidR="004B1F8E">
        <w:t xml:space="preserve"> your team will have a process for alerting colleagues that you need urgent support.</w:t>
      </w:r>
    </w:p>
    <w:p w14:paraId="5C214417" w14:textId="1D596E5E" w:rsidR="008040E7" w:rsidRDefault="004B1F8E" w:rsidP="008040E7">
      <w:pPr>
        <w:jc w:val="both"/>
      </w:pPr>
      <w:r>
        <w:t>An example is – if you have an emergency</w:t>
      </w:r>
      <w:r w:rsidR="008040E7">
        <w:t xml:space="preserve"> call or text a colleague and ask for Scarlett. Your colleague will know to get you help and support immediately and will call 999 to your location, based on the information you have in your calendar at the time of the call (See Calendar Standards). </w:t>
      </w:r>
    </w:p>
    <w:p w14:paraId="7FC20B7E" w14:textId="640C5F48" w:rsidR="008040E7" w:rsidRDefault="008040E7" w:rsidP="008040E7">
      <w:pPr>
        <w:jc w:val="both"/>
      </w:pPr>
      <w:r>
        <w:t xml:space="preserve">If a colleague calls or texts you and asks for Scarlett let them know you will try to find her, keep your colleague on the phone if possible. You can see where your colleague is based on their outlook calendar (see Calendar Standards). Call 999, advise them of the situation and give them the address and family details of the visit. Go back to your colleague and let them know that you have got a message to Scarlett, and she will call back as soon as possible. </w:t>
      </w:r>
    </w:p>
    <w:tbl>
      <w:tblPr>
        <w:tblStyle w:val="TableGrid"/>
        <w:tblW w:w="0" w:type="auto"/>
        <w:tblLook w:val="04A0" w:firstRow="1" w:lastRow="0" w:firstColumn="1" w:lastColumn="0" w:noHBand="0" w:noVBand="1"/>
      </w:tblPr>
      <w:tblGrid>
        <w:gridCol w:w="9016"/>
      </w:tblGrid>
      <w:tr w:rsidR="004B1F8E" w14:paraId="0F4DA688" w14:textId="77777777" w:rsidTr="00316444">
        <w:trPr>
          <w:trHeight w:val="1701"/>
        </w:trPr>
        <w:tc>
          <w:tcPr>
            <w:tcW w:w="9016" w:type="dxa"/>
            <w:shd w:val="clear" w:color="auto" w:fill="FFFFFF" w:themeFill="background1"/>
          </w:tcPr>
          <w:p w14:paraId="6F8D0033" w14:textId="16EE04E1" w:rsidR="004B1F8E" w:rsidRDefault="004B1F8E" w:rsidP="008040E7">
            <w:pPr>
              <w:jc w:val="both"/>
            </w:pPr>
            <w:r>
              <w:t>If this is different for your team, outline your plan here</w:t>
            </w:r>
          </w:p>
        </w:tc>
      </w:tr>
    </w:tbl>
    <w:p w14:paraId="6E874B0A" w14:textId="2C663A65" w:rsidR="00316444" w:rsidRDefault="00316444" w:rsidP="00316444">
      <w:pPr>
        <w:pStyle w:val="ListParagraph"/>
        <w:rPr>
          <w:b/>
          <w:bCs/>
          <w:sz w:val="28"/>
          <w:szCs w:val="28"/>
        </w:rPr>
      </w:pPr>
    </w:p>
    <w:p w14:paraId="34CD161C" w14:textId="526DFEFB" w:rsidR="00316444" w:rsidRDefault="00316444" w:rsidP="00316444">
      <w:pPr>
        <w:pStyle w:val="ListParagraph"/>
        <w:rPr>
          <w:b/>
          <w:bCs/>
          <w:sz w:val="28"/>
          <w:szCs w:val="28"/>
        </w:rPr>
      </w:pPr>
      <w:r w:rsidRPr="004B1F8E">
        <w:rPr>
          <w:b/>
          <w:bCs/>
          <w:noProof/>
          <w:sz w:val="2"/>
          <w:szCs w:val="2"/>
        </w:rPr>
        <mc:AlternateContent>
          <mc:Choice Requires="wps">
            <w:drawing>
              <wp:anchor distT="0" distB="0" distL="114300" distR="114300" simplePos="0" relativeHeight="251665408" behindDoc="1" locked="0" layoutInCell="1" allowOverlap="1" wp14:anchorId="1332B853" wp14:editId="3731EE3F">
                <wp:simplePos x="0" y="0"/>
                <wp:positionH relativeFrom="margin">
                  <wp:posOffset>-135924</wp:posOffset>
                </wp:positionH>
                <wp:positionV relativeFrom="paragraph">
                  <wp:posOffset>157789</wp:posOffset>
                </wp:positionV>
                <wp:extent cx="5991225" cy="1828800"/>
                <wp:effectExtent l="0" t="0" r="28575" b="19050"/>
                <wp:wrapNone/>
                <wp:docPr id="1659343005" name="Rectangle 1"/>
                <wp:cNvGraphicFramePr/>
                <a:graphic xmlns:a="http://schemas.openxmlformats.org/drawingml/2006/main">
                  <a:graphicData uri="http://schemas.microsoft.com/office/word/2010/wordprocessingShape">
                    <wps:wsp>
                      <wps:cNvSpPr/>
                      <wps:spPr>
                        <a:xfrm>
                          <a:off x="0" y="0"/>
                          <a:ext cx="5991225" cy="1828800"/>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396E" id="Rectangle 1" o:spid="_x0000_s1026" style="position:absolute;margin-left:-10.7pt;margin-top:12.4pt;width:471.75pt;height:2in;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" fillcolor="#deeaf6 [664]" strokecolor="#09101d [484]" strokeweight="1pt">
                <w10:wrap anchorx="margin"/>
              </v:rect>
            </w:pict>
          </mc:Fallback>
        </mc:AlternateContent>
      </w:r>
    </w:p>
    <w:p w14:paraId="5A34FC82" w14:textId="3E4E06F7" w:rsidR="008040E7" w:rsidRPr="00E93A2D" w:rsidRDefault="008040E7" w:rsidP="00E93A2D">
      <w:pPr>
        <w:pStyle w:val="ListParagraph"/>
        <w:numPr>
          <w:ilvl w:val="0"/>
          <w:numId w:val="3"/>
        </w:numPr>
        <w:jc w:val="center"/>
        <w:rPr>
          <w:b/>
          <w:bCs/>
          <w:sz w:val="28"/>
          <w:szCs w:val="28"/>
        </w:rPr>
      </w:pPr>
      <w:r w:rsidRPr="00E93A2D">
        <w:rPr>
          <w:b/>
          <w:bCs/>
          <w:sz w:val="28"/>
          <w:szCs w:val="28"/>
        </w:rPr>
        <w:t>Debriefing after – learning from incidents</w:t>
      </w:r>
      <w:r w:rsidR="00E93A2D">
        <w:rPr>
          <w:b/>
          <w:bCs/>
          <w:sz w:val="28"/>
          <w:szCs w:val="28"/>
        </w:rPr>
        <w:t>.</w:t>
      </w:r>
    </w:p>
    <w:p w14:paraId="7E62C5F4" w14:textId="263A3592" w:rsidR="008040E7" w:rsidRDefault="008040E7" w:rsidP="00771A23">
      <w:pPr>
        <w:ind w:right="119"/>
        <w:jc w:val="both"/>
      </w:pPr>
      <w:r>
        <w:t>If there is an incident which requires you to call for help, makes you feel like you weren’t safe</w:t>
      </w:r>
      <w:r w:rsidR="00023A5D">
        <w:t>, or where you think something could be done better</w:t>
      </w:r>
      <w:r w:rsidR="0026368D">
        <w:t>,</w:t>
      </w:r>
      <w:r w:rsidR="00023A5D">
        <w:t xml:space="preserve"> then</w:t>
      </w:r>
      <w:r>
        <w:t xml:space="preserve"> it is important to debrief with your team</w:t>
      </w:r>
      <w:r w:rsidR="00F30977">
        <w:t xml:space="preserve"> manager</w:t>
      </w:r>
      <w:r>
        <w:t xml:space="preserve"> to look at lessons learned and how we can approach the situation differently next time.</w:t>
      </w:r>
      <w:r w:rsidR="00023A5D">
        <w:t xml:space="preserve"> </w:t>
      </w:r>
      <w:r w:rsidR="0026368D">
        <w:t>Additionally,</w:t>
      </w:r>
      <w:r w:rsidR="00023A5D">
        <w:t xml:space="preserve"> t</w:t>
      </w:r>
      <w:r>
        <w:t xml:space="preserve">his should also be recorded as an incident on the </w:t>
      </w:r>
      <w:hyperlink r:id="rId11" w:history="1">
        <w:r w:rsidR="00771A23" w:rsidRPr="00E44A4A">
          <w:rPr>
            <w:rStyle w:val="Hyperlink"/>
          </w:rPr>
          <w:t>SHE Assure portal</w:t>
        </w:r>
      </w:hyperlink>
      <w:r>
        <w:t>.</w:t>
      </w:r>
    </w:p>
    <w:p w14:paraId="36F0B408" w14:textId="5540B851" w:rsidR="00316444" w:rsidRDefault="00316444" w:rsidP="00771A23">
      <w:pPr>
        <w:ind w:right="119"/>
        <w:jc w:val="both"/>
      </w:pPr>
      <w:r>
        <w:t>See note below on consideration of Global Majority workers and additional considerations about experiences faced</w:t>
      </w:r>
      <w:r w:rsidR="0026368D">
        <w:t xml:space="preserve"> and support available</w:t>
      </w:r>
      <w:r>
        <w:t xml:space="preserve">. </w:t>
      </w:r>
    </w:p>
    <w:p w14:paraId="3EFA95E5" w14:textId="77777777" w:rsidR="00316444" w:rsidRPr="00316444" w:rsidRDefault="00316444" w:rsidP="00771A23">
      <w:pPr>
        <w:ind w:right="119"/>
        <w:jc w:val="both"/>
        <w:rPr>
          <w:rFonts w:cstheme="minorHAnsi"/>
          <w:sz w:val="2"/>
          <w:szCs w:val="2"/>
        </w:rPr>
      </w:pPr>
    </w:p>
    <w:p w14:paraId="63CBB369" w14:textId="77777777" w:rsidR="00316444" w:rsidRDefault="00316444">
      <w:pPr>
        <w:rPr>
          <w:rFonts w:cstheme="minorHAnsi"/>
          <w:sz w:val="20"/>
          <w:szCs w:val="20"/>
        </w:rPr>
      </w:pPr>
      <w:r>
        <w:rPr>
          <w:rFonts w:cstheme="minorHAnsi"/>
          <w:sz w:val="20"/>
          <w:szCs w:val="20"/>
        </w:rPr>
        <w:br w:type="page"/>
      </w:r>
    </w:p>
    <w:p w14:paraId="138C1DB1" w14:textId="0209E112" w:rsidR="00316444" w:rsidRPr="003B0C33" w:rsidRDefault="00316444" w:rsidP="00316444">
      <w:pPr>
        <w:ind w:right="119"/>
        <w:jc w:val="center"/>
        <w:rPr>
          <w:rFonts w:cstheme="minorHAnsi"/>
          <w:b/>
          <w:bCs/>
          <w:sz w:val="32"/>
          <w:szCs w:val="32"/>
        </w:rPr>
      </w:pPr>
      <w:r w:rsidRPr="003B0C33">
        <w:rPr>
          <w:rFonts w:cstheme="minorHAnsi"/>
          <w:b/>
          <w:bCs/>
          <w:sz w:val="32"/>
          <w:szCs w:val="32"/>
        </w:rPr>
        <w:t>Appendices</w:t>
      </w:r>
    </w:p>
    <w:p w14:paraId="70914911" w14:textId="3DFC4FBF" w:rsidR="00316444" w:rsidRPr="00316444" w:rsidRDefault="00316444" w:rsidP="00771A23">
      <w:pPr>
        <w:ind w:right="119"/>
        <w:jc w:val="both"/>
        <w:rPr>
          <w:rFonts w:cstheme="minorHAnsi"/>
          <w:b/>
          <w:bCs/>
          <w:sz w:val="28"/>
          <w:szCs w:val="28"/>
        </w:rPr>
      </w:pPr>
      <w:r w:rsidRPr="00316444">
        <w:rPr>
          <w:rFonts w:cstheme="minorHAnsi"/>
          <w:b/>
          <w:bCs/>
          <w:sz w:val="28"/>
          <w:szCs w:val="28"/>
        </w:rPr>
        <w:t>Global Majority Workers</w:t>
      </w:r>
    </w:p>
    <w:p w14:paraId="0F8D1396" w14:textId="5F9EF7B2" w:rsidR="007D4381" w:rsidRPr="001416F5" w:rsidRDefault="007D4381" w:rsidP="00771A23">
      <w:pPr>
        <w:ind w:right="119"/>
        <w:jc w:val="both"/>
        <w:rPr>
          <w:rFonts w:cstheme="minorHAnsi"/>
          <w:sz w:val="20"/>
          <w:szCs w:val="20"/>
          <w:vertAlign w:val="superscript"/>
        </w:rPr>
      </w:pPr>
      <w:r w:rsidRPr="004B1F8E">
        <w:rPr>
          <w:rFonts w:cstheme="minorHAnsi"/>
          <w:sz w:val="20"/>
          <w:szCs w:val="20"/>
        </w:rPr>
        <w:t>We wanted to also acknowledge the additional challenges that our Global Majority workers face.  "Global majority" is a collective term for people of Indigenous, African, Asian, or Latin American descent, who constitute approximately 85 percent of the global population</w:t>
      </w:r>
      <w:r w:rsidRPr="00771A23">
        <w:rPr>
          <w:color w:val="4472C4" w:themeColor="accent1"/>
          <w:vertAlign w:val="superscript"/>
        </w:rPr>
        <w:footnoteReference w:id="1"/>
      </w:r>
    </w:p>
    <w:p w14:paraId="37A65475" w14:textId="67079346" w:rsidR="007D4381" w:rsidRPr="004B1F8E" w:rsidRDefault="007D4381" w:rsidP="00771A23">
      <w:pPr>
        <w:ind w:right="119"/>
        <w:jc w:val="both"/>
        <w:rPr>
          <w:rFonts w:cstheme="minorHAnsi"/>
          <w:sz w:val="20"/>
          <w:szCs w:val="20"/>
        </w:rPr>
      </w:pPr>
      <w:r w:rsidRPr="004B1F8E">
        <w:rPr>
          <w:rFonts w:cstheme="minorHAnsi"/>
          <w:sz w:val="20"/>
          <w:szCs w:val="20"/>
        </w:rPr>
        <w:t xml:space="preserve">Global Majority workers may face additional experiences which are a threat to their safety and </w:t>
      </w:r>
      <w:proofErr w:type="gramStart"/>
      <w:r w:rsidRPr="004B1F8E">
        <w:rPr>
          <w:rFonts w:cstheme="minorHAnsi"/>
          <w:sz w:val="20"/>
          <w:szCs w:val="20"/>
        </w:rPr>
        <w:t>wellbeing</w:t>
      </w:r>
      <w:proofErr w:type="gramEnd"/>
      <w:r w:rsidRPr="004B1F8E">
        <w:rPr>
          <w:rFonts w:cstheme="minorHAnsi"/>
          <w:sz w:val="20"/>
          <w:szCs w:val="20"/>
        </w:rPr>
        <w:t xml:space="preserve"> and it is important that we provide safe spaces for colleagues to discuss them and the impact they have.  It is important to set this culture from your very first 1:1 with staff and ensure you’re revisiting it regularly.  </w:t>
      </w:r>
    </w:p>
    <w:p w14:paraId="4C8CC492" w14:textId="181D40E8" w:rsidR="007D4381" w:rsidRPr="004B1F8E" w:rsidRDefault="007D4381" w:rsidP="00771A23">
      <w:pPr>
        <w:ind w:right="119"/>
        <w:jc w:val="both"/>
        <w:rPr>
          <w:rFonts w:cstheme="minorHAnsi"/>
          <w:sz w:val="20"/>
          <w:szCs w:val="20"/>
        </w:rPr>
      </w:pPr>
      <w:r w:rsidRPr="004B1F8E">
        <w:rPr>
          <w:rFonts w:cstheme="minorHAnsi"/>
          <w:sz w:val="20"/>
          <w:szCs w:val="20"/>
        </w:rPr>
        <w:t>There are parts of the county where it may be more likely that Global Majority staff could face racism whilst conducting business.  It’s ok to ask staff about whether they feel additionally anxious about certain places and be open to hearing about what they need to feel safe.  Ask before and be available to debrief afterwards. There are times when we must work with families who have been known to display racist behaviours, as with locations, talk to staff about what they need.  Consider joint working and ensure warnings are visible on the Case Management system if you learn of new incidents.</w:t>
      </w:r>
    </w:p>
    <w:p w14:paraId="18A74BFD" w14:textId="6FD68690" w:rsidR="007D4381" w:rsidRPr="004B1F8E" w:rsidRDefault="007D4381" w:rsidP="00771A23">
      <w:pPr>
        <w:ind w:right="119"/>
        <w:jc w:val="both"/>
        <w:rPr>
          <w:rFonts w:cstheme="minorHAnsi"/>
          <w:sz w:val="20"/>
          <w:szCs w:val="20"/>
        </w:rPr>
      </w:pPr>
      <w:r w:rsidRPr="004B1F8E">
        <w:rPr>
          <w:rFonts w:cstheme="minorHAnsi"/>
          <w:sz w:val="20"/>
          <w:szCs w:val="20"/>
        </w:rPr>
        <w:t>If a colleague returns from a visit and reports a racist incident, ensure you report it using the Incident at Work process and, if relevant, capture it on the system as a risk. If global Majority staff need additional support, the Black Workers Network can be contacted on</w:t>
      </w:r>
      <w:r w:rsidRPr="001416F5">
        <w:rPr>
          <w:rFonts w:cstheme="minorHAnsi"/>
          <w:b/>
          <w:bCs/>
          <w:color w:val="4472C4" w:themeColor="accent1"/>
          <w:sz w:val="20"/>
          <w:szCs w:val="20"/>
        </w:rPr>
        <w:t xml:space="preserve"> </w:t>
      </w:r>
      <w:hyperlink r:id="rId12" w:history="1">
        <w:r w:rsidR="001416F5" w:rsidRPr="00771A23">
          <w:rPr>
            <w:rStyle w:val="Hyperlink"/>
          </w:rPr>
          <w:t>bwn@gloucestershire.gov.uk</w:t>
        </w:r>
      </w:hyperlink>
      <w:r w:rsidRPr="004B1F8E">
        <w:rPr>
          <w:rFonts w:cstheme="minorHAnsi"/>
          <w:sz w:val="20"/>
          <w:szCs w:val="20"/>
        </w:rPr>
        <w:t xml:space="preserve"> and you can feed into the Anti Racist Ally Group.</w:t>
      </w:r>
    </w:p>
    <w:p w14:paraId="53F01FAF" w14:textId="77777777" w:rsidR="00316444" w:rsidRDefault="00316444" w:rsidP="00E93A2D">
      <w:pPr>
        <w:jc w:val="both"/>
        <w:rPr>
          <w:rFonts w:cstheme="minorHAnsi"/>
          <w:sz w:val="20"/>
          <w:szCs w:val="20"/>
        </w:rPr>
      </w:pPr>
    </w:p>
    <w:p w14:paraId="363E934D" w14:textId="77777777" w:rsidR="006A29CE" w:rsidRPr="006A29CE" w:rsidRDefault="006A29CE" w:rsidP="00E93A2D">
      <w:pPr>
        <w:jc w:val="both"/>
        <w:rPr>
          <w:rFonts w:cstheme="minorHAnsi"/>
          <w:sz w:val="8"/>
          <w:szCs w:val="8"/>
        </w:rPr>
      </w:pPr>
    </w:p>
    <w:p w14:paraId="39E06BEF" w14:textId="6DEFEB89" w:rsidR="00316444" w:rsidRDefault="00316444" w:rsidP="00316444">
      <w:pPr>
        <w:ind w:right="119"/>
        <w:jc w:val="both"/>
        <w:rPr>
          <w:rFonts w:cstheme="minorHAnsi"/>
          <w:b/>
          <w:bCs/>
          <w:sz w:val="28"/>
          <w:szCs w:val="28"/>
        </w:rPr>
      </w:pPr>
      <w:r w:rsidRPr="00316444">
        <w:rPr>
          <w:rFonts w:cstheme="minorHAnsi"/>
          <w:b/>
          <w:bCs/>
          <w:sz w:val="28"/>
          <w:szCs w:val="28"/>
        </w:rPr>
        <w:t>Lone Working – Spheres of Support</w:t>
      </w:r>
    </w:p>
    <w:p w14:paraId="49D4A82F" w14:textId="77777777" w:rsidR="006A29CE" w:rsidRPr="006A29CE" w:rsidRDefault="006A29CE" w:rsidP="00316444">
      <w:pPr>
        <w:ind w:right="119"/>
        <w:jc w:val="both"/>
        <w:rPr>
          <w:rFonts w:cstheme="minorHAnsi"/>
          <w:b/>
          <w:bCs/>
          <w:sz w:val="12"/>
          <w:szCs w:val="12"/>
        </w:rPr>
      </w:pPr>
    </w:p>
    <w:p w14:paraId="0E2EF101" w14:textId="77777777" w:rsidR="00316444" w:rsidRPr="004B1F8E" w:rsidRDefault="00316444" w:rsidP="00E93A2D">
      <w:pPr>
        <w:jc w:val="both"/>
        <w:rPr>
          <w:rFonts w:cstheme="minorHAnsi"/>
          <w:sz w:val="20"/>
          <w:szCs w:val="20"/>
        </w:rPr>
      </w:pPr>
    </w:p>
    <w:p w14:paraId="5AE111E2" w14:textId="5CEFD2C1" w:rsidR="00E93A2D" w:rsidRDefault="00F645DF" w:rsidP="00F645DF">
      <w:pPr>
        <w:jc w:val="center"/>
        <w:sectPr w:rsidR="00E93A2D" w:rsidSect="00F645DF">
          <w:type w:val="continuous"/>
          <w:pgSz w:w="11906" w:h="16838"/>
          <w:pgMar w:top="1134" w:right="1416" w:bottom="993" w:left="1440" w:header="708" w:footer="708" w:gutter="0"/>
          <w:cols w:space="708"/>
          <w:docGrid w:linePitch="360"/>
        </w:sectPr>
      </w:pPr>
      <w:r>
        <w:rPr>
          <w:noProof/>
        </w:rPr>
        <w:drawing>
          <wp:inline distT="0" distB="0" distL="0" distR="0" wp14:anchorId="7775199D" wp14:editId="06879467">
            <wp:extent cx="5746750" cy="3689445"/>
            <wp:effectExtent l="0" t="0" r="6350" b="6350"/>
            <wp:docPr id="1815447650" name="Picture 1" descr="A diagram of a person's relation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47650" name="Picture 1" descr="A diagram of a person's relationship&#10;&#10;Description automatically generated"/>
                    <pic:cNvPicPr/>
                  </pic:nvPicPr>
                  <pic:blipFill rotWithShape="1">
                    <a:blip r:embed="rId13"/>
                    <a:srcRect b="986"/>
                    <a:stretch/>
                  </pic:blipFill>
                  <pic:spPr bwMode="auto">
                    <a:xfrm>
                      <a:off x="0" y="0"/>
                      <a:ext cx="5746750" cy="3689445"/>
                    </a:xfrm>
                    <a:prstGeom prst="rect">
                      <a:avLst/>
                    </a:prstGeom>
                    <a:ln>
                      <a:noFill/>
                    </a:ln>
                    <a:extLst>
                      <a:ext uri="{53640926-AAD7-44D8-BBD7-CCE9431645EC}">
                        <a14:shadowObscured xmlns:a14="http://schemas.microsoft.com/office/drawing/2010/main"/>
                      </a:ext>
                    </a:extLst>
                  </pic:spPr>
                </pic:pic>
              </a:graphicData>
            </a:graphic>
          </wp:inline>
        </w:drawing>
      </w:r>
    </w:p>
    <w:p w14:paraId="5A032250" w14:textId="1A54EA6B" w:rsidR="008040E7" w:rsidRPr="00E93A2D" w:rsidRDefault="008040E7" w:rsidP="00E93A2D">
      <w:pPr>
        <w:rPr>
          <w:sz w:val="4"/>
          <w:szCs w:val="4"/>
        </w:rPr>
      </w:pPr>
    </w:p>
    <w:sectPr w:rsidR="008040E7" w:rsidRPr="00E93A2D" w:rsidSect="00F645DF">
      <w:type w:val="continuous"/>
      <w:pgSz w:w="11906" w:h="16838"/>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3285D" w14:textId="77777777" w:rsidR="0077656C" w:rsidRDefault="0077656C" w:rsidP="00E93A2D">
      <w:pPr>
        <w:spacing w:after="0" w:line="240" w:lineRule="auto"/>
      </w:pPr>
      <w:r>
        <w:separator/>
      </w:r>
    </w:p>
  </w:endnote>
  <w:endnote w:type="continuationSeparator" w:id="0">
    <w:p w14:paraId="277F16BB" w14:textId="77777777" w:rsidR="0077656C" w:rsidRDefault="0077656C" w:rsidP="00E9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DC3E" w14:textId="77777777" w:rsidR="0077656C" w:rsidRDefault="0077656C" w:rsidP="00E93A2D">
      <w:pPr>
        <w:spacing w:after="0" w:line="240" w:lineRule="auto"/>
      </w:pPr>
      <w:r>
        <w:separator/>
      </w:r>
    </w:p>
  </w:footnote>
  <w:footnote w:type="continuationSeparator" w:id="0">
    <w:p w14:paraId="16D1429B" w14:textId="77777777" w:rsidR="0077656C" w:rsidRDefault="0077656C" w:rsidP="00E93A2D">
      <w:pPr>
        <w:spacing w:after="0" w:line="240" w:lineRule="auto"/>
      </w:pPr>
      <w:r>
        <w:continuationSeparator/>
      </w:r>
    </w:p>
  </w:footnote>
  <w:footnote w:id="1">
    <w:p w14:paraId="651AE7D9" w14:textId="17281F67" w:rsidR="007D4381" w:rsidRDefault="007D4381" w:rsidP="007D4381">
      <w:pPr>
        <w:pStyle w:val="FootnoteText"/>
      </w:pPr>
      <w:r>
        <w:rPr>
          <w:rStyle w:val="FootnoteReference"/>
        </w:rPr>
        <w:footnoteRef/>
      </w:r>
      <w:r>
        <w:t xml:space="preserve"> </w:t>
      </w:r>
      <w:hyperlink r:id="rId1" w:history="1">
        <w:r w:rsidR="00F645DF" w:rsidRPr="00C0706D">
          <w:rPr>
            <w:rStyle w:val="Hyperlink"/>
          </w:rPr>
          <w:t>https://en.wikipedia.org/wiki/Global_majority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06E2C"/>
    <w:multiLevelType w:val="hybridMultilevel"/>
    <w:tmpl w:val="B3E02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90756"/>
    <w:multiLevelType w:val="hybridMultilevel"/>
    <w:tmpl w:val="494A2DC0"/>
    <w:lvl w:ilvl="0" w:tplc="0636A7E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D2F37"/>
    <w:multiLevelType w:val="hybridMultilevel"/>
    <w:tmpl w:val="6F3E1E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5B90F8C"/>
    <w:multiLevelType w:val="hybridMultilevel"/>
    <w:tmpl w:val="6F3E1E0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207475"/>
    <w:multiLevelType w:val="hybridMultilevel"/>
    <w:tmpl w:val="6F3E1E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292774">
    <w:abstractNumId w:val="1"/>
  </w:num>
  <w:num w:numId="2" w16cid:durableId="453402227">
    <w:abstractNumId w:val="3"/>
  </w:num>
  <w:num w:numId="3" w16cid:durableId="235896045">
    <w:abstractNumId w:val="0"/>
  </w:num>
  <w:num w:numId="4" w16cid:durableId="22022054">
    <w:abstractNumId w:val="2"/>
  </w:num>
  <w:num w:numId="5" w16cid:durableId="1938905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C0"/>
    <w:rsid w:val="00023A5D"/>
    <w:rsid w:val="00115695"/>
    <w:rsid w:val="001416F5"/>
    <w:rsid w:val="00170D9E"/>
    <w:rsid w:val="0018524A"/>
    <w:rsid w:val="001978E8"/>
    <w:rsid w:val="00197E22"/>
    <w:rsid w:val="001A2F81"/>
    <w:rsid w:val="0026368D"/>
    <w:rsid w:val="002B381C"/>
    <w:rsid w:val="00316444"/>
    <w:rsid w:val="0038522B"/>
    <w:rsid w:val="00386386"/>
    <w:rsid w:val="003B0C33"/>
    <w:rsid w:val="003E77ED"/>
    <w:rsid w:val="004645D3"/>
    <w:rsid w:val="00473AAD"/>
    <w:rsid w:val="004879F8"/>
    <w:rsid w:val="00490134"/>
    <w:rsid w:val="004A0859"/>
    <w:rsid w:val="004B1F8E"/>
    <w:rsid w:val="00540258"/>
    <w:rsid w:val="00577473"/>
    <w:rsid w:val="005F69C0"/>
    <w:rsid w:val="0060098D"/>
    <w:rsid w:val="0060550F"/>
    <w:rsid w:val="006A29CE"/>
    <w:rsid w:val="00771A23"/>
    <w:rsid w:val="0077656C"/>
    <w:rsid w:val="007D4381"/>
    <w:rsid w:val="008040E7"/>
    <w:rsid w:val="0084463E"/>
    <w:rsid w:val="00937114"/>
    <w:rsid w:val="00953F47"/>
    <w:rsid w:val="009A7100"/>
    <w:rsid w:val="009E6AAD"/>
    <w:rsid w:val="00B56E58"/>
    <w:rsid w:val="00B93223"/>
    <w:rsid w:val="00C17832"/>
    <w:rsid w:val="00D54D70"/>
    <w:rsid w:val="00D82098"/>
    <w:rsid w:val="00E15EC1"/>
    <w:rsid w:val="00E4294F"/>
    <w:rsid w:val="00E61020"/>
    <w:rsid w:val="00E81D17"/>
    <w:rsid w:val="00E93A2D"/>
    <w:rsid w:val="00EB2A71"/>
    <w:rsid w:val="00EB37EC"/>
    <w:rsid w:val="00F066A8"/>
    <w:rsid w:val="00F13166"/>
    <w:rsid w:val="00F30977"/>
    <w:rsid w:val="00F645DF"/>
    <w:rsid w:val="00FE0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89BF"/>
  <w15:chartTrackingRefBased/>
  <w15:docId w15:val="{BAB6363A-C11C-45CF-B5F0-A11E6BF3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9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9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9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69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69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6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9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9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9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69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69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6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9C0"/>
    <w:rPr>
      <w:rFonts w:eastAsiaTheme="majorEastAsia" w:cstheme="majorBidi"/>
      <w:color w:val="272727" w:themeColor="text1" w:themeTint="D8"/>
    </w:rPr>
  </w:style>
  <w:style w:type="paragraph" w:styleId="Title">
    <w:name w:val="Title"/>
    <w:basedOn w:val="Normal"/>
    <w:next w:val="Normal"/>
    <w:link w:val="TitleChar"/>
    <w:uiPriority w:val="10"/>
    <w:qFormat/>
    <w:rsid w:val="005F6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9C0"/>
    <w:pPr>
      <w:spacing w:before="160"/>
      <w:jc w:val="center"/>
    </w:pPr>
    <w:rPr>
      <w:i/>
      <w:iCs/>
      <w:color w:val="404040" w:themeColor="text1" w:themeTint="BF"/>
    </w:rPr>
  </w:style>
  <w:style w:type="character" w:customStyle="1" w:styleId="QuoteChar">
    <w:name w:val="Quote Char"/>
    <w:basedOn w:val="DefaultParagraphFont"/>
    <w:link w:val="Quote"/>
    <w:uiPriority w:val="29"/>
    <w:rsid w:val="005F69C0"/>
    <w:rPr>
      <w:i/>
      <w:iCs/>
      <w:color w:val="404040" w:themeColor="text1" w:themeTint="BF"/>
    </w:rPr>
  </w:style>
  <w:style w:type="paragraph" w:styleId="ListParagraph">
    <w:name w:val="List Paragraph"/>
    <w:basedOn w:val="Normal"/>
    <w:uiPriority w:val="34"/>
    <w:qFormat/>
    <w:rsid w:val="005F69C0"/>
    <w:pPr>
      <w:ind w:left="720"/>
      <w:contextualSpacing/>
    </w:pPr>
  </w:style>
  <w:style w:type="character" w:styleId="IntenseEmphasis">
    <w:name w:val="Intense Emphasis"/>
    <w:basedOn w:val="DefaultParagraphFont"/>
    <w:uiPriority w:val="21"/>
    <w:qFormat/>
    <w:rsid w:val="005F69C0"/>
    <w:rPr>
      <w:i/>
      <w:iCs/>
      <w:color w:val="2F5496" w:themeColor="accent1" w:themeShade="BF"/>
    </w:rPr>
  </w:style>
  <w:style w:type="paragraph" w:styleId="IntenseQuote">
    <w:name w:val="Intense Quote"/>
    <w:basedOn w:val="Normal"/>
    <w:next w:val="Normal"/>
    <w:link w:val="IntenseQuoteChar"/>
    <w:uiPriority w:val="30"/>
    <w:qFormat/>
    <w:rsid w:val="005F6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9C0"/>
    <w:rPr>
      <w:i/>
      <w:iCs/>
      <w:color w:val="2F5496" w:themeColor="accent1" w:themeShade="BF"/>
    </w:rPr>
  </w:style>
  <w:style w:type="character" w:styleId="IntenseReference">
    <w:name w:val="Intense Reference"/>
    <w:basedOn w:val="DefaultParagraphFont"/>
    <w:uiPriority w:val="32"/>
    <w:qFormat/>
    <w:rsid w:val="005F69C0"/>
    <w:rPr>
      <w:b/>
      <w:bCs/>
      <w:smallCaps/>
      <w:color w:val="2F5496" w:themeColor="accent1" w:themeShade="BF"/>
      <w:spacing w:val="5"/>
    </w:rPr>
  </w:style>
  <w:style w:type="table" w:styleId="TableGrid">
    <w:name w:val="Table Grid"/>
    <w:basedOn w:val="TableNormal"/>
    <w:uiPriority w:val="39"/>
    <w:rsid w:val="005F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A2D"/>
  </w:style>
  <w:style w:type="paragraph" w:styleId="Footer">
    <w:name w:val="footer"/>
    <w:basedOn w:val="Normal"/>
    <w:link w:val="FooterChar"/>
    <w:uiPriority w:val="99"/>
    <w:unhideWhenUsed/>
    <w:rsid w:val="00E9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A2D"/>
  </w:style>
  <w:style w:type="character" w:styleId="CommentReference">
    <w:name w:val="annotation reference"/>
    <w:basedOn w:val="DefaultParagraphFont"/>
    <w:uiPriority w:val="99"/>
    <w:semiHidden/>
    <w:unhideWhenUsed/>
    <w:rsid w:val="00953F47"/>
    <w:rPr>
      <w:sz w:val="16"/>
      <w:szCs w:val="16"/>
    </w:rPr>
  </w:style>
  <w:style w:type="paragraph" w:styleId="CommentText">
    <w:name w:val="annotation text"/>
    <w:basedOn w:val="Normal"/>
    <w:link w:val="CommentTextChar"/>
    <w:uiPriority w:val="99"/>
    <w:unhideWhenUsed/>
    <w:rsid w:val="00953F47"/>
    <w:pPr>
      <w:spacing w:line="240" w:lineRule="auto"/>
    </w:pPr>
    <w:rPr>
      <w:sz w:val="20"/>
      <w:szCs w:val="20"/>
    </w:rPr>
  </w:style>
  <w:style w:type="character" w:customStyle="1" w:styleId="CommentTextChar">
    <w:name w:val="Comment Text Char"/>
    <w:basedOn w:val="DefaultParagraphFont"/>
    <w:link w:val="CommentText"/>
    <w:uiPriority w:val="99"/>
    <w:rsid w:val="00953F47"/>
    <w:rPr>
      <w:sz w:val="20"/>
      <w:szCs w:val="20"/>
    </w:rPr>
  </w:style>
  <w:style w:type="paragraph" w:styleId="CommentSubject">
    <w:name w:val="annotation subject"/>
    <w:basedOn w:val="CommentText"/>
    <w:next w:val="CommentText"/>
    <w:link w:val="CommentSubjectChar"/>
    <w:uiPriority w:val="99"/>
    <w:semiHidden/>
    <w:unhideWhenUsed/>
    <w:rsid w:val="00953F47"/>
    <w:rPr>
      <w:b/>
      <w:bCs/>
    </w:rPr>
  </w:style>
  <w:style w:type="character" w:customStyle="1" w:styleId="CommentSubjectChar">
    <w:name w:val="Comment Subject Char"/>
    <w:basedOn w:val="CommentTextChar"/>
    <w:link w:val="CommentSubject"/>
    <w:uiPriority w:val="99"/>
    <w:semiHidden/>
    <w:rsid w:val="00953F47"/>
    <w:rPr>
      <w:b/>
      <w:bCs/>
      <w:sz w:val="20"/>
      <w:szCs w:val="20"/>
    </w:rPr>
  </w:style>
  <w:style w:type="character" w:styleId="Hyperlink">
    <w:name w:val="Hyperlink"/>
    <w:basedOn w:val="DefaultParagraphFont"/>
    <w:uiPriority w:val="99"/>
    <w:unhideWhenUsed/>
    <w:rsid w:val="007D4381"/>
    <w:rPr>
      <w:color w:val="0563C1" w:themeColor="hyperlink"/>
      <w:u w:val="single"/>
    </w:rPr>
  </w:style>
  <w:style w:type="paragraph" w:styleId="FootnoteText">
    <w:name w:val="footnote text"/>
    <w:basedOn w:val="Normal"/>
    <w:link w:val="FootnoteTextChar"/>
    <w:uiPriority w:val="99"/>
    <w:semiHidden/>
    <w:unhideWhenUsed/>
    <w:rsid w:val="007D4381"/>
    <w:pPr>
      <w:spacing w:after="0" w:line="240" w:lineRule="auto"/>
    </w:pPr>
    <w:rPr>
      <w:rFonts w:ascii="Calibri" w:hAnsi="Calibri" w:cs="Calibri"/>
      <w:kern w:val="0"/>
      <w:sz w:val="20"/>
      <w:szCs w:val="20"/>
    </w:rPr>
  </w:style>
  <w:style w:type="character" w:customStyle="1" w:styleId="FootnoteTextChar">
    <w:name w:val="Footnote Text Char"/>
    <w:basedOn w:val="DefaultParagraphFont"/>
    <w:link w:val="FootnoteText"/>
    <w:uiPriority w:val="99"/>
    <w:semiHidden/>
    <w:rsid w:val="007D4381"/>
    <w:rPr>
      <w:rFonts w:ascii="Calibri" w:hAnsi="Calibri" w:cs="Calibri"/>
      <w:kern w:val="0"/>
      <w:sz w:val="20"/>
      <w:szCs w:val="20"/>
    </w:rPr>
  </w:style>
  <w:style w:type="character" w:styleId="FootnoteReference">
    <w:name w:val="footnote reference"/>
    <w:basedOn w:val="DefaultParagraphFont"/>
    <w:uiPriority w:val="99"/>
    <w:semiHidden/>
    <w:unhideWhenUsed/>
    <w:rsid w:val="007D4381"/>
    <w:rPr>
      <w:vertAlign w:val="superscript"/>
    </w:rPr>
  </w:style>
  <w:style w:type="character" w:styleId="UnresolvedMention">
    <w:name w:val="Unresolved Mention"/>
    <w:basedOn w:val="DefaultParagraphFont"/>
    <w:uiPriority w:val="99"/>
    <w:semiHidden/>
    <w:unhideWhenUsed/>
    <w:rsid w:val="00F645DF"/>
    <w:rPr>
      <w:color w:val="605E5C"/>
      <w:shd w:val="clear" w:color="auto" w:fill="E1DFDD"/>
    </w:rPr>
  </w:style>
  <w:style w:type="character" w:styleId="FollowedHyperlink">
    <w:name w:val="FollowedHyperlink"/>
    <w:basedOn w:val="DefaultParagraphFont"/>
    <w:uiPriority w:val="99"/>
    <w:semiHidden/>
    <w:unhideWhenUsed/>
    <w:rsid w:val="00D82098"/>
    <w:rPr>
      <w:color w:val="954F72" w:themeColor="followedHyperlink"/>
      <w:u w:val="single"/>
    </w:rPr>
  </w:style>
  <w:style w:type="character" w:customStyle="1" w:styleId="cf01">
    <w:name w:val="cf01"/>
    <w:basedOn w:val="DefaultParagraphFont"/>
    <w:rsid w:val="009A71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wn@gloucester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uk.sheassure.net/gloucestershirecc/p/Por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lobal_maj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Tom</dc:creator>
  <cp:keywords/>
  <dc:description/>
  <cp:lastModifiedBy>UNDERWOOD, Tom</cp:lastModifiedBy>
  <cp:revision>11</cp:revision>
  <dcterms:created xsi:type="dcterms:W3CDTF">2024-06-26T16:32:00Z</dcterms:created>
  <dcterms:modified xsi:type="dcterms:W3CDTF">2024-08-12T08:55:00Z</dcterms:modified>
</cp:coreProperties>
</file>