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9192" w14:textId="0EF42A2E" w:rsidR="00724664" w:rsidRPr="00724664" w:rsidRDefault="00F4577E" w:rsidP="00724664">
      <w:pPr>
        <w:jc w:val="center"/>
        <w:rPr>
          <w:b/>
          <w:bCs/>
          <w:noProof/>
          <w:color w:val="1F3864" w:themeColor="accent1" w:themeShade="80"/>
          <w:sz w:val="36"/>
          <w:szCs w:val="36"/>
        </w:rPr>
      </w:pPr>
      <w:r>
        <w:rPr>
          <w:b/>
          <w:bCs/>
          <w:noProof/>
          <w:color w:val="1F3864" w:themeColor="accent1" w:themeShade="80"/>
          <w:sz w:val="36"/>
          <w:szCs w:val="36"/>
        </w:rPr>
        <w:drawing>
          <wp:anchor distT="0" distB="0" distL="114300" distR="114300" simplePos="0" relativeHeight="251658240" behindDoc="1" locked="0" layoutInCell="1" allowOverlap="1" wp14:anchorId="481ECD18" wp14:editId="63F92204">
            <wp:simplePos x="0" y="0"/>
            <wp:positionH relativeFrom="column">
              <wp:posOffset>-276225</wp:posOffset>
            </wp:positionH>
            <wp:positionV relativeFrom="paragraph">
              <wp:posOffset>-590550</wp:posOffset>
            </wp:positionV>
            <wp:extent cx="10096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14:sizeRelH relativeFrom="page">
              <wp14:pctWidth>0</wp14:pctWidth>
            </wp14:sizeRelH>
            <wp14:sizeRelV relativeFrom="page">
              <wp14:pctHeight>0</wp14:pctHeight>
            </wp14:sizeRelV>
          </wp:anchor>
        </w:drawing>
      </w:r>
      <w:r w:rsidR="00724664" w:rsidRPr="00724664">
        <w:rPr>
          <w:b/>
          <w:bCs/>
          <w:noProof/>
          <w:color w:val="1F3864" w:themeColor="accent1" w:themeShade="80"/>
          <w:sz w:val="36"/>
          <w:szCs w:val="36"/>
        </w:rPr>
        <w:t>Beyond Custody guidance</w:t>
      </w:r>
    </w:p>
    <w:p w14:paraId="2FA9F5EB" w14:textId="77777777" w:rsidR="00724664" w:rsidRPr="00724664" w:rsidRDefault="00724664" w:rsidP="00724664">
      <w:pPr>
        <w:jc w:val="center"/>
        <w:rPr>
          <w:b/>
          <w:bCs/>
          <w:noProof/>
          <w:color w:val="1F3864" w:themeColor="accent1" w:themeShade="80"/>
          <w:sz w:val="36"/>
          <w:szCs w:val="36"/>
        </w:rPr>
      </w:pPr>
      <w:r w:rsidRPr="00724664">
        <w:rPr>
          <w:b/>
          <w:bCs/>
          <w:noProof/>
          <w:color w:val="1F3864" w:themeColor="accent1" w:themeShade="80"/>
          <w:sz w:val="36"/>
          <w:szCs w:val="36"/>
        </w:rPr>
        <w:t>Supporting Care Experienced young people in readiness for their release from custody</w:t>
      </w:r>
    </w:p>
    <w:p w14:paraId="214D5353" w14:textId="6821DB65" w:rsidR="00724664" w:rsidRPr="00724664" w:rsidRDefault="00724664" w:rsidP="00724664">
      <w:pPr>
        <w:rPr>
          <w:b/>
          <w:bCs/>
          <w:noProof/>
          <w:color w:val="1F3864" w:themeColor="accent1" w:themeShade="80"/>
        </w:rPr>
      </w:pPr>
      <w:r w:rsidRPr="00724664">
        <w:rPr>
          <w:b/>
          <w:bCs/>
          <w:noProof/>
          <w:color w:val="1F3864" w:themeColor="accent1" w:themeShade="80"/>
        </w:rPr>
        <w:t>Vision :</w:t>
      </w:r>
    </w:p>
    <w:p w14:paraId="51E2D2D7" w14:textId="545F56A5" w:rsidR="00724664" w:rsidRPr="00724664" w:rsidRDefault="00724664" w:rsidP="00724664">
      <w:pPr>
        <w:pStyle w:val="ListParagraph"/>
        <w:numPr>
          <w:ilvl w:val="0"/>
          <w:numId w:val="1"/>
        </w:numPr>
        <w:rPr>
          <w:noProof/>
          <w:color w:val="1F3864" w:themeColor="accent1" w:themeShade="80"/>
        </w:rPr>
      </w:pPr>
      <w:r w:rsidRPr="00724664">
        <w:rPr>
          <w:noProof/>
          <w:color w:val="1F3864" w:themeColor="accent1" w:themeShade="80"/>
        </w:rPr>
        <w:t>Refocus on improving our Practice with Young People who are in Custody</w:t>
      </w:r>
    </w:p>
    <w:p w14:paraId="05BF57AD" w14:textId="77777777" w:rsidR="00724664" w:rsidRPr="00724664" w:rsidRDefault="00724664" w:rsidP="00724664">
      <w:pPr>
        <w:pStyle w:val="ListParagraph"/>
        <w:numPr>
          <w:ilvl w:val="0"/>
          <w:numId w:val="1"/>
        </w:numPr>
        <w:rPr>
          <w:noProof/>
          <w:color w:val="1F3864" w:themeColor="accent1" w:themeShade="80"/>
        </w:rPr>
      </w:pPr>
      <w:r w:rsidRPr="00724664">
        <w:rPr>
          <w:noProof/>
          <w:color w:val="1F3864" w:themeColor="accent1" w:themeShade="80"/>
        </w:rPr>
        <w:t>Regular visits, financial assistance and improved resettlement</w:t>
      </w:r>
    </w:p>
    <w:p w14:paraId="18934BF6" w14:textId="77777777" w:rsidR="00724664" w:rsidRPr="00724664" w:rsidRDefault="00724664" w:rsidP="00724664">
      <w:pPr>
        <w:pStyle w:val="ListParagraph"/>
        <w:numPr>
          <w:ilvl w:val="0"/>
          <w:numId w:val="1"/>
        </w:numPr>
        <w:rPr>
          <w:noProof/>
          <w:color w:val="1F3864" w:themeColor="accent1" w:themeShade="80"/>
        </w:rPr>
      </w:pPr>
      <w:r w:rsidRPr="00724664">
        <w:rPr>
          <w:noProof/>
          <w:color w:val="1F3864" w:themeColor="accent1" w:themeShade="80"/>
        </w:rPr>
        <w:t>Reflect on the current issues in Practice</w:t>
      </w:r>
    </w:p>
    <w:p w14:paraId="65D5D41D" w14:textId="44B8E2CD" w:rsidR="00724664" w:rsidRPr="00724664" w:rsidRDefault="00724664" w:rsidP="00724664">
      <w:pPr>
        <w:pStyle w:val="ListParagraph"/>
        <w:numPr>
          <w:ilvl w:val="0"/>
          <w:numId w:val="1"/>
        </w:numPr>
        <w:rPr>
          <w:noProof/>
          <w:color w:val="1F3864" w:themeColor="accent1" w:themeShade="80"/>
        </w:rPr>
      </w:pPr>
      <w:r>
        <w:rPr>
          <w:noProof/>
          <w:color w:val="1F3864" w:themeColor="accent1" w:themeShade="80"/>
        </w:rPr>
        <w:t>Keeping uptodate with</w:t>
      </w:r>
      <w:r w:rsidRPr="00724664">
        <w:rPr>
          <w:noProof/>
          <w:color w:val="1F3864" w:themeColor="accent1" w:themeShade="80"/>
        </w:rPr>
        <w:t xml:space="preserve"> new in practice, laws etc</w:t>
      </w:r>
    </w:p>
    <w:p w14:paraId="57373BC5" w14:textId="4893D54E" w:rsidR="00724664" w:rsidRPr="00724664" w:rsidRDefault="00724664" w:rsidP="00724664">
      <w:pPr>
        <w:pStyle w:val="ListParagraph"/>
        <w:numPr>
          <w:ilvl w:val="0"/>
          <w:numId w:val="1"/>
        </w:numPr>
        <w:rPr>
          <w:noProof/>
          <w:color w:val="1F3864" w:themeColor="accent1" w:themeShade="80"/>
        </w:rPr>
      </w:pPr>
      <w:r w:rsidRPr="00724664">
        <w:rPr>
          <w:noProof/>
          <w:color w:val="1F3864" w:themeColor="accent1" w:themeShade="80"/>
        </w:rPr>
        <w:t>Introduce good practice principals</w:t>
      </w:r>
    </w:p>
    <w:p w14:paraId="0BB54D3F" w14:textId="7D7A6218" w:rsidR="00724664" w:rsidRPr="00FC703D" w:rsidRDefault="00724664" w:rsidP="00724664">
      <w:pPr>
        <w:pStyle w:val="ListParagraph"/>
        <w:numPr>
          <w:ilvl w:val="0"/>
          <w:numId w:val="1"/>
        </w:numPr>
        <w:rPr>
          <w:color w:val="1F3864" w:themeColor="accent1" w:themeShade="80"/>
        </w:rPr>
      </w:pPr>
      <w:r w:rsidRPr="00724664">
        <w:rPr>
          <w:noProof/>
          <w:color w:val="1F3864" w:themeColor="accent1" w:themeShade="80"/>
        </w:rPr>
        <w:t>Improve links with Probation and Youth Offending</w:t>
      </w:r>
    </w:p>
    <w:p w14:paraId="22390C57" w14:textId="36E4F28D" w:rsidR="00724664" w:rsidRPr="00724664" w:rsidRDefault="00724664" w:rsidP="00724664">
      <w:pPr>
        <w:rPr>
          <w:b/>
          <w:bCs/>
          <w:color w:val="1F3864" w:themeColor="accent1" w:themeShade="80"/>
        </w:rPr>
      </w:pPr>
      <w:r w:rsidRPr="00724664">
        <w:rPr>
          <w:b/>
          <w:bCs/>
          <w:color w:val="1F3864" w:themeColor="accent1" w:themeShade="80"/>
        </w:rPr>
        <w:t>Context:</w:t>
      </w:r>
    </w:p>
    <w:p w14:paraId="7F23B61F" w14:textId="505C8966" w:rsidR="00724664" w:rsidRDefault="00724664" w:rsidP="00FC703D">
      <w:pPr>
        <w:pStyle w:val="ListParagraph"/>
        <w:numPr>
          <w:ilvl w:val="0"/>
          <w:numId w:val="4"/>
        </w:numPr>
        <w:rPr>
          <w:color w:val="1F3864" w:themeColor="accent1" w:themeShade="80"/>
        </w:rPr>
      </w:pPr>
      <w:r w:rsidRPr="00FC703D">
        <w:rPr>
          <w:color w:val="1F3864" w:themeColor="accent1" w:themeShade="80"/>
        </w:rPr>
        <w:t>Evidence tells us that care leavers (18-25) face additional challenges after leaving prison, requiring support to find a stable home, income and their place in the community, in order for them to lead meaningful, positive futures</w:t>
      </w:r>
    </w:p>
    <w:p w14:paraId="090FE7BF" w14:textId="77777777" w:rsidR="00FC703D" w:rsidRPr="00FC703D" w:rsidRDefault="00FC703D" w:rsidP="00FC703D">
      <w:pPr>
        <w:pStyle w:val="ListParagraph"/>
        <w:ind w:left="360"/>
        <w:rPr>
          <w:color w:val="1F3864" w:themeColor="accent1" w:themeShade="80"/>
        </w:rPr>
      </w:pPr>
    </w:p>
    <w:p w14:paraId="113DDBA6" w14:textId="7F4D62A3" w:rsidR="00FC703D" w:rsidRDefault="00724664" w:rsidP="00FC703D">
      <w:pPr>
        <w:pStyle w:val="ListParagraph"/>
        <w:numPr>
          <w:ilvl w:val="0"/>
          <w:numId w:val="4"/>
        </w:numPr>
        <w:rPr>
          <w:color w:val="1F3864" w:themeColor="accent1" w:themeShade="80"/>
        </w:rPr>
      </w:pPr>
      <w:r w:rsidRPr="00FC703D">
        <w:rPr>
          <w:color w:val="1F3864" w:themeColor="accent1" w:themeShade="80"/>
        </w:rPr>
        <w:t xml:space="preserve">Young people who have spent time in care are more likely to have poorer outcomes than their non care experienced peers. As evidenced by the Children Schools and Families Select Committee Report on Looked After Children (2009) and the Centre for Social Justice Report ‘Couldn’t Care Less’. Figures released by the Office for National Statistics in December 2022 show that children in care are much more at risk of interacting with the criminal justice system by the age of 24 than their peers. Over half (52%) of the care experienced children had been convicted of a criminal offence by the academic year they turned 24. Further statistics identified 40% of these young people received a custodial sentence. </w:t>
      </w:r>
    </w:p>
    <w:p w14:paraId="3910A4D8" w14:textId="77777777" w:rsidR="00FC703D" w:rsidRPr="00FC703D" w:rsidRDefault="00FC703D" w:rsidP="00FC703D">
      <w:pPr>
        <w:pStyle w:val="ListParagraph"/>
        <w:rPr>
          <w:color w:val="1F3864" w:themeColor="accent1" w:themeShade="80"/>
        </w:rPr>
      </w:pPr>
    </w:p>
    <w:p w14:paraId="5E5EF611" w14:textId="23139BE1" w:rsidR="00724664" w:rsidRDefault="00724664" w:rsidP="00FC703D">
      <w:pPr>
        <w:pStyle w:val="ListParagraph"/>
        <w:numPr>
          <w:ilvl w:val="0"/>
          <w:numId w:val="4"/>
        </w:numPr>
        <w:rPr>
          <w:color w:val="1F3864" w:themeColor="accent1" w:themeShade="80"/>
        </w:rPr>
      </w:pPr>
      <w:r w:rsidRPr="00FC703D">
        <w:rPr>
          <w:color w:val="1F3864" w:themeColor="accent1" w:themeShade="80"/>
        </w:rPr>
        <w:t xml:space="preserve">Evidence informs us that care leavers (18-25) face additional challenges after leaving prison, requiring support to find a stable home, income, and their place in the community, for them to lead meaningful, positive futures. It is estimated that between 37 per cent (HM Inspectorate of Prisons, 2016) and 50 per cent (Prison Reform Trust, 2016) of children in custody have been in care at some point in their lives. Care leavers are more likely to breach licence conditions and are at a higher risk of reoffending. </w:t>
      </w:r>
    </w:p>
    <w:p w14:paraId="097C2C93" w14:textId="77777777" w:rsidR="00FC703D" w:rsidRPr="00FC703D" w:rsidRDefault="00FC703D" w:rsidP="00FC703D">
      <w:pPr>
        <w:pStyle w:val="ListParagraph"/>
        <w:rPr>
          <w:color w:val="1F3864" w:themeColor="accent1" w:themeShade="80"/>
        </w:rPr>
      </w:pPr>
    </w:p>
    <w:p w14:paraId="14FADF80" w14:textId="77777777" w:rsidR="00FC703D" w:rsidRDefault="00724664" w:rsidP="00D912D3">
      <w:pPr>
        <w:pStyle w:val="ListParagraph"/>
        <w:numPr>
          <w:ilvl w:val="0"/>
          <w:numId w:val="4"/>
        </w:numPr>
        <w:rPr>
          <w:color w:val="1F3864" w:themeColor="accent1" w:themeShade="80"/>
        </w:rPr>
      </w:pPr>
      <w:r w:rsidRPr="00FC703D">
        <w:rPr>
          <w:color w:val="1F3864" w:themeColor="accent1" w:themeShade="80"/>
        </w:rPr>
        <w:t xml:space="preserve">Research has identified that provision for care leavers released from prison is often patchy and inconsistent. Building on the HMPPS “Resettlement and Pre Release Planning Guidance (October 2022) the HMPPS “Care Leavers Matter“ (March 2023) guidance includes extracts from care experienced people in the criminal justice system identifying what would help them. It identifies and promotes good practice  between prisons, probation and local authorities, working collaboratively, to provide the support to care experienced young people/adult. </w:t>
      </w:r>
    </w:p>
    <w:p w14:paraId="775CF143" w14:textId="77777777" w:rsidR="00FC703D" w:rsidRPr="00FC703D" w:rsidRDefault="00FC703D" w:rsidP="00FC703D">
      <w:pPr>
        <w:pStyle w:val="ListParagraph"/>
        <w:rPr>
          <w:color w:val="1F3864" w:themeColor="accent1" w:themeShade="80"/>
        </w:rPr>
      </w:pPr>
    </w:p>
    <w:p w14:paraId="581A9F5A" w14:textId="696882D0" w:rsidR="00724664" w:rsidRPr="00FC703D" w:rsidRDefault="00724664" w:rsidP="00724664">
      <w:pPr>
        <w:pStyle w:val="ListParagraph"/>
        <w:numPr>
          <w:ilvl w:val="0"/>
          <w:numId w:val="4"/>
        </w:numPr>
        <w:rPr>
          <w:color w:val="1F3864" w:themeColor="accent1" w:themeShade="80"/>
        </w:rPr>
      </w:pPr>
      <w:r w:rsidRPr="00FC703D">
        <w:rPr>
          <w:color w:val="1F3864" w:themeColor="accent1" w:themeShade="80"/>
        </w:rPr>
        <w:t>The purpose of developing this</w:t>
      </w:r>
      <w:r w:rsidRPr="00FC703D">
        <w:rPr>
          <w:color w:val="1F3864" w:themeColor="accent1" w:themeShade="80"/>
        </w:rPr>
        <w:t xml:space="preserve"> beyond custody framework for staff to implement</w:t>
      </w:r>
      <w:r w:rsidRPr="00FC703D">
        <w:rPr>
          <w:color w:val="1F3864" w:themeColor="accent1" w:themeShade="80"/>
        </w:rPr>
        <w:t xml:space="preserve"> is to continue to develop interagency working of Northamptonshire Childrens Trust (NCT) and The Probation Service to improve how we support to reduce involvement of the criminal justice system when dealing with trauma impacted behaviours of young care experienced young people/adults.</w:t>
      </w:r>
    </w:p>
    <w:p w14:paraId="5452C7A0" w14:textId="1887D4EE" w:rsidR="00FC703D" w:rsidRDefault="00724664" w:rsidP="00FC703D">
      <w:pPr>
        <w:rPr>
          <w:b/>
          <w:bCs/>
          <w:color w:val="1F3864" w:themeColor="accent1" w:themeShade="80"/>
        </w:rPr>
      </w:pPr>
      <w:r w:rsidRPr="00FC703D">
        <w:rPr>
          <w:b/>
          <w:bCs/>
          <w:color w:val="1F3864" w:themeColor="accent1" w:themeShade="80"/>
        </w:rPr>
        <w:lastRenderedPageBreak/>
        <w:t xml:space="preserve">Beyond </w:t>
      </w:r>
      <w:r w:rsidR="00FC703D" w:rsidRPr="00FC703D">
        <w:rPr>
          <w:b/>
          <w:bCs/>
          <w:color w:val="1F3864" w:themeColor="accent1" w:themeShade="80"/>
        </w:rPr>
        <w:t>Custody</w:t>
      </w:r>
      <w:r w:rsidRPr="00FC703D">
        <w:rPr>
          <w:b/>
          <w:bCs/>
          <w:color w:val="1F3864" w:themeColor="accent1" w:themeShade="80"/>
        </w:rPr>
        <w:t xml:space="preserve"> guidance, making a difference</w:t>
      </w:r>
      <w:r w:rsidR="00FC703D" w:rsidRPr="00FC703D">
        <w:rPr>
          <w:b/>
          <w:bCs/>
          <w:color w:val="1F3864" w:themeColor="accent1" w:themeShade="80"/>
        </w:rPr>
        <w:t>:</w:t>
      </w:r>
    </w:p>
    <w:p w14:paraId="06C11E25" w14:textId="77777777" w:rsidR="00FC703D" w:rsidRPr="00FC703D" w:rsidRDefault="00FC703D" w:rsidP="00FC703D">
      <w:pPr>
        <w:pStyle w:val="ListParagraph"/>
        <w:numPr>
          <w:ilvl w:val="0"/>
          <w:numId w:val="2"/>
        </w:numPr>
        <w:rPr>
          <w:color w:val="1F3864" w:themeColor="accent1" w:themeShade="80"/>
        </w:rPr>
      </w:pPr>
      <w:r w:rsidRPr="00FC703D">
        <w:rPr>
          <w:color w:val="1F3864" w:themeColor="accent1" w:themeShade="80"/>
        </w:rPr>
        <w:t>Plan effectively for release</w:t>
      </w:r>
    </w:p>
    <w:p w14:paraId="39AE1CD3" w14:textId="77777777" w:rsidR="00FC703D" w:rsidRPr="00FC703D" w:rsidRDefault="00FC703D" w:rsidP="00FC703D">
      <w:pPr>
        <w:pStyle w:val="ListParagraph"/>
        <w:numPr>
          <w:ilvl w:val="0"/>
          <w:numId w:val="2"/>
        </w:numPr>
        <w:rPr>
          <w:color w:val="1F3864" w:themeColor="accent1" w:themeShade="80"/>
        </w:rPr>
      </w:pPr>
      <w:r w:rsidRPr="00FC703D">
        <w:rPr>
          <w:color w:val="1F3864" w:themeColor="accent1" w:themeShade="80"/>
        </w:rPr>
        <w:t>What does this look like? Meet with YOS, Housing, Probation</w:t>
      </w:r>
    </w:p>
    <w:p w14:paraId="6794AB02" w14:textId="77777777" w:rsidR="00FC703D" w:rsidRPr="00FC703D" w:rsidRDefault="00FC703D" w:rsidP="00FC703D">
      <w:pPr>
        <w:pStyle w:val="ListParagraph"/>
        <w:numPr>
          <w:ilvl w:val="0"/>
          <w:numId w:val="2"/>
        </w:numPr>
        <w:rPr>
          <w:color w:val="1F3864" w:themeColor="accent1" w:themeShade="80"/>
        </w:rPr>
      </w:pPr>
      <w:r w:rsidRPr="00FC703D">
        <w:rPr>
          <w:color w:val="1F3864" w:themeColor="accent1" w:themeShade="80"/>
        </w:rPr>
        <w:t>Employment, Mentoring, Education</w:t>
      </w:r>
    </w:p>
    <w:p w14:paraId="4D715C32" w14:textId="77777777" w:rsidR="00FC703D" w:rsidRPr="00FC703D" w:rsidRDefault="00FC703D" w:rsidP="00FC703D">
      <w:pPr>
        <w:pStyle w:val="ListParagraph"/>
        <w:numPr>
          <w:ilvl w:val="0"/>
          <w:numId w:val="2"/>
        </w:numPr>
        <w:rPr>
          <w:color w:val="1F3864" w:themeColor="accent1" w:themeShade="80"/>
        </w:rPr>
      </w:pPr>
      <w:r w:rsidRPr="00FC703D">
        <w:rPr>
          <w:color w:val="1F3864" w:themeColor="accent1" w:themeShade="80"/>
        </w:rPr>
        <w:t xml:space="preserve">Work with partner agencies to formulate plans for resettlement </w:t>
      </w:r>
    </w:p>
    <w:p w14:paraId="10EAB64B" w14:textId="77777777" w:rsidR="00FC703D" w:rsidRPr="00FC703D" w:rsidRDefault="00FC703D" w:rsidP="00FC703D">
      <w:pPr>
        <w:pStyle w:val="ListParagraph"/>
        <w:numPr>
          <w:ilvl w:val="0"/>
          <w:numId w:val="2"/>
        </w:numPr>
        <w:rPr>
          <w:color w:val="1F3864" w:themeColor="accent1" w:themeShade="80"/>
        </w:rPr>
      </w:pPr>
      <w:r w:rsidRPr="00FC703D">
        <w:rPr>
          <w:color w:val="1F3864" w:themeColor="accent1" w:themeShade="80"/>
        </w:rPr>
        <w:t xml:space="preserve">Ensure care leavers are aware of the support and how to access help </w:t>
      </w:r>
    </w:p>
    <w:p w14:paraId="176023B4" w14:textId="77777777" w:rsidR="00FC703D" w:rsidRPr="00FC703D" w:rsidRDefault="00FC703D" w:rsidP="00FC703D">
      <w:pPr>
        <w:pStyle w:val="ListParagraph"/>
        <w:numPr>
          <w:ilvl w:val="0"/>
          <w:numId w:val="2"/>
        </w:numPr>
        <w:rPr>
          <w:color w:val="1F3864" w:themeColor="accent1" w:themeShade="80"/>
        </w:rPr>
      </w:pPr>
      <w:r w:rsidRPr="00FC703D">
        <w:rPr>
          <w:color w:val="1F3864" w:themeColor="accent1" w:themeShade="80"/>
        </w:rPr>
        <w:t>Provide a joined up approach with Probation</w:t>
      </w:r>
    </w:p>
    <w:p w14:paraId="5E467CAB" w14:textId="77777777" w:rsidR="00FC703D" w:rsidRPr="00FC703D" w:rsidRDefault="00FC703D" w:rsidP="00FC703D">
      <w:pPr>
        <w:pStyle w:val="ListParagraph"/>
        <w:numPr>
          <w:ilvl w:val="0"/>
          <w:numId w:val="2"/>
        </w:numPr>
        <w:rPr>
          <w:color w:val="1F3864" w:themeColor="accent1" w:themeShade="80"/>
        </w:rPr>
      </w:pPr>
      <w:r w:rsidRPr="00FC703D">
        <w:rPr>
          <w:color w:val="1F3864" w:themeColor="accent1" w:themeShade="80"/>
        </w:rPr>
        <w:t>EU Settlement Status when in custody</w:t>
      </w:r>
    </w:p>
    <w:p w14:paraId="6F557C41" w14:textId="0D4D3BEA" w:rsidR="00FC703D" w:rsidRPr="00FC703D" w:rsidRDefault="00FC703D" w:rsidP="00FC703D">
      <w:pPr>
        <w:pStyle w:val="ListParagraph"/>
        <w:numPr>
          <w:ilvl w:val="0"/>
          <w:numId w:val="2"/>
        </w:numPr>
        <w:rPr>
          <w:color w:val="1F3864" w:themeColor="accent1" w:themeShade="80"/>
        </w:rPr>
      </w:pPr>
      <w:r w:rsidRPr="00FC703D">
        <w:rPr>
          <w:color w:val="1F3864" w:themeColor="accent1" w:themeShade="80"/>
        </w:rPr>
        <w:t>What is this likely to mean? Cannot apply, potentially facing deportation</w:t>
      </w:r>
    </w:p>
    <w:p w14:paraId="71F36B25" w14:textId="42F56F48" w:rsidR="00FC703D" w:rsidRDefault="00FC703D" w:rsidP="00DD7C8F">
      <w:pPr>
        <w:autoSpaceDE w:val="0"/>
        <w:autoSpaceDN w:val="0"/>
        <w:adjustRightInd w:val="0"/>
        <w:jc w:val="both"/>
        <w:rPr>
          <w:rFonts w:cstheme="minorHAnsi"/>
          <w:bCs/>
          <w:color w:val="1F3864" w:themeColor="accent1" w:themeShade="80"/>
          <w:sz w:val="24"/>
          <w:szCs w:val="24"/>
        </w:rPr>
      </w:pPr>
      <w:r w:rsidRPr="00FC703D">
        <w:rPr>
          <w:rFonts w:cstheme="minorHAnsi"/>
          <w:bCs/>
          <w:color w:val="1F3864" w:themeColor="accent1" w:themeShade="80"/>
          <w:sz w:val="24"/>
          <w:szCs w:val="24"/>
        </w:rPr>
        <w:t xml:space="preserve">Beyond </w:t>
      </w:r>
      <w:r w:rsidR="00DD7C8F" w:rsidRPr="00FC703D">
        <w:rPr>
          <w:rFonts w:cstheme="minorHAnsi"/>
          <w:bCs/>
          <w:color w:val="1F3864" w:themeColor="accent1" w:themeShade="80"/>
          <w:sz w:val="24"/>
          <w:szCs w:val="24"/>
        </w:rPr>
        <w:t xml:space="preserve">Custody </w:t>
      </w:r>
      <w:r w:rsidRPr="00FC703D">
        <w:rPr>
          <w:rFonts w:cstheme="minorHAnsi"/>
          <w:bCs/>
          <w:color w:val="1F3864" w:themeColor="accent1" w:themeShade="80"/>
          <w:sz w:val="24"/>
          <w:szCs w:val="24"/>
        </w:rPr>
        <w:t>places at its core, the</w:t>
      </w:r>
      <w:r w:rsidRPr="00FC703D">
        <w:rPr>
          <w:rFonts w:cstheme="minorHAnsi"/>
          <w:bCs/>
          <w:color w:val="1F3864" w:themeColor="accent1" w:themeShade="80"/>
          <w:sz w:val="24"/>
          <w:szCs w:val="24"/>
        </w:rPr>
        <w:t xml:space="preserve"> young person </w:t>
      </w:r>
      <w:r w:rsidRPr="00FC703D">
        <w:rPr>
          <w:rFonts w:cstheme="minorHAnsi"/>
          <w:bCs/>
          <w:color w:val="1F3864" w:themeColor="accent1" w:themeShade="80"/>
          <w:sz w:val="24"/>
          <w:szCs w:val="24"/>
        </w:rPr>
        <w:t xml:space="preserve"> being fully involved and enabling the </w:t>
      </w:r>
      <w:r w:rsidRPr="00FC703D">
        <w:rPr>
          <w:rFonts w:cstheme="minorHAnsi"/>
          <w:bCs/>
          <w:color w:val="1F3864" w:themeColor="accent1" w:themeShade="80"/>
          <w:sz w:val="24"/>
          <w:szCs w:val="24"/>
        </w:rPr>
        <w:t xml:space="preserve">young person </w:t>
      </w:r>
      <w:r w:rsidRPr="00FC703D">
        <w:rPr>
          <w:rFonts w:cstheme="minorHAnsi"/>
          <w:bCs/>
          <w:color w:val="1F3864" w:themeColor="accent1" w:themeShade="80"/>
          <w:sz w:val="24"/>
          <w:szCs w:val="24"/>
        </w:rPr>
        <w:t xml:space="preserve">to shift their identity from pro criminal to pro social through both individualised personal support and personalised structural support. </w:t>
      </w:r>
    </w:p>
    <w:p w14:paraId="07D60F9C" w14:textId="77777777" w:rsidR="00DD7C8F" w:rsidRPr="00DD7C8F" w:rsidRDefault="00DD7C8F" w:rsidP="00DD7C8F">
      <w:pPr>
        <w:autoSpaceDE w:val="0"/>
        <w:autoSpaceDN w:val="0"/>
        <w:adjustRightInd w:val="0"/>
        <w:jc w:val="both"/>
        <w:rPr>
          <w:rFonts w:cstheme="minorHAnsi"/>
          <w:bCs/>
          <w:color w:val="1F3864" w:themeColor="accent1" w:themeShade="80"/>
          <w:sz w:val="24"/>
          <w:szCs w:val="24"/>
        </w:rPr>
      </w:pPr>
      <w:r w:rsidRPr="00DD7C8F">
        <w:rPr>
          <w:rFonts w:cstheme="minorHAnsi"/>
          <w:bCs/>
          <w:color w:val="1F3864" w:themeColor="accent1" w:themeShade="80"/>
          <w:sz w:val="24"/>
          <w:szCs w:val="24"/>
        </w:rPr>
        <w:t xml:space="preserve">Wherever possible, arrangements should be made for young people to visit prospective placements and employment or educational facilities and to meet relevant practitioners before their release. </w:t>
      </w:r>
    </w:p>
    <w:p w14:paraId="3A219349" w14:textId="77777777" w:rsidR="00DD7C8F" w:rsidRPr="00DD7C8F" w:rsidRDefault="00DD7C8F" w:rsidP="00DD7C8F">
      <w:pPr>
        <w:autoSpaceDE w:val="0"/>
        <w:autoSpaceDN w:val="0"/>
        <w:adjustRightInd w:val="0"/>
        <w:jc w:val="both"/>
        <w:rPr>
          <w:rFonts w:cstheme="minorHAnsi"/>
          <w:bCs/>
          <w:color w:val="1F3864" w:themeColor="accent1" w:themeShade="80"/>
          <w:sz w:val="24"/>
          <w:szCs w:val="24"/>
        </w:rPr>
      </w:pPr>
      <w:r w:rsidRPr="00DD7C8F">
        <w:rPr>
          <w:rFonts w:cstheme="minorHAnsi"/>
          <w:bCs/>
          <w:color w:val="1F3864" w:themeColor="accent1" w:themeShade="80"/>
          <w:sz w:val="24"/>
          <w:szCs w:val="24"/>
        </w:rPr>
        <w:t>There are facilities for a young person to be granted Release on Temporary Licence (ROTL) or Mobility to allow outside visits to take place, subject to relevant agreements.</w:t>
      </w:r>
    </w:p>
    <w:p w14:paraId="351C3987" w14:textId="77777777" w:rsidR="00DD7C8F" w:rsidRPr="00DD7C8F" w:rsidRDefault="00DD7C8F" w:rsidP="00DD7C8F">
      <w:pPr>
        <w:autoSpaceDE w:val="0"/>
        <w:autoSpaceDN w:val="0"/>
        <w:adjustRightInd w:val="0"/>
        <w:jc w:val="both"/>
        <w:rPr>
          <w:rFonts w:cstheme="minorHAnsi"/>
          <w:bCs/>
          <w:color w:val="1F3864" w:themeColor="accent1" w:themeShade="80"/>
          <w:sz w:val="24"/>
          <w:szCs w:val="24"/>
        </w:rPr>
      </w:pPr>
      <w:r w:rsidRPr="00DD7C8F">
        <w:rPr>
          <w:rFonts w:cstheme="minorHAnsi"/>
          <w:bCs/>
          <w:color w:val="1F3864" w:themeColor="accent1" w:themeShade="80"/>
          <w:sz w:val="24"/>
          <w:szCs w:val="24"/>
        </w:rPr>
        <w:t xml:space="preserve">It is essential that there is clarity about who is responsible for each element of the young person's plan and the arrangements for communication and enforcement. </w:t>
      </w:r>
    </w:p>
    <w:p w14:paraId="6E93143C" w14:textId="398E0974" w:rsidR="00DD7C8F" w:rsidRPr="00DD7C8F" w:rsidRDefault="00DD7C8F" w:rsidP="00DD7C8F">
      <w:pPr>
        <w:autoSpaceDE w:val="0"/>
        <w:autoSpaceDN w:val="0"/>
        <w:adjustRightInd w:val="0"/>
        <w:jc w:val="both"/>
        <w:rPr>
          <w:rFonts w:cstheme="minorHAnsi"/>
          <w:bCs/>
          <w:color w:val="1F3864" w:themeColor="accent1" w:themeShade="80"/>
          <w:sz w:val="24"/>
          <w:szCs w:val="24"/>
        </w:rPr>
      </w:pPr>
      <w:r w:rsidRPr="00DD7C8F">
        <w:rPr>
          <w:rFonts w:cstheme="minorHAnsi"/>
          <w:bCs/>
          <w:color w:val="1F3864" w:themeColor="accent1" w:themeShade="80"/>
          <w:sz w:val="24"/>
          <w:szCs w:val="24"/>
        </w:rPr>
        <w:t>The local authority should record this plan and make copies available to the young person, the supervising YOT officer, Probation, IRO, the establishment, other agencies that will be involved with supporting the young person after release and the young person's family, if appropriate</w:t>
      </w:r>
    </w:p>
    <w:p w14:paraId="7080F088" w14:textId="77777777" w:rsidR="00FC703D" w:rsidRPr="00FC703D" w:rsidRDefault="00FC703D" w:rsidP="00FC703D">
      <w:pPr>
        <w:pStyle w:val="Content"/>
        <w:numPr>
          <w:ilvl w:val="0"/>
          <w:numId w:val="3"/>
        </w:numPr>
        <w:jc w:val="both"/>
        <w:rPr>
          <w:rFonts w:cstheme="minorHAnsi"/>
          <w:bCs/>
          <w:iCs/>
          <w:color w:val="1F3864" w:themeColor="accent1" w:themeShade="80"/>
          <w:sz w:val="24"/>
          <w:szCs w:val="24"/>
        </w:rPr>
      </w:pPr>
      <w:r w:rsidRPr="00FC703D">
        <w:rPr>
          <w:rFonts w:cstheme="minorHAnsi"/>
          <w:bCs/>
          <w:iCs/>
          <w:color w:val="1F3864" w:themeColor="accent1" w:themeShade="80"/>
          <w:sz w:val="24"/>
          <w:szCs w:val="24"/>
        </w:rPr>
        <w:t xml:space="preserve">Ensuring young people have equality of opportunity </w:t>
      </w:r>
    </w:p>
    <w:p w14:paraId="1D9893A2" w14:textId="77777777" w:rsidR="00FC703D" w:rsidRPr="00FC703D" w:rsidRDefault="00FC703D" w:rsidP="00FC703D">
      <w:pPr>
        <w:pStyle w:val="Content"/>
        <w:numPr>
          <w:ilvl w:val="0"/>
          <w:numId w:val="3"/>
        </w:numPr>
        <w:jc w:val="both"/>
        <w:rPr>
          <w:rFonts w:cstheme="minorHAnsi"/>
          <w:bCs/>
          <w:iCs/>
          <w:color w:val="1F3864" w:themeColor="accent1" w:themeShade="80"/>
          <w:sz w:val="24"/>
          <w:szCs w:val="24"/>
        </w:rPr>
      </w:pPr>
      <w:r w:rsidRPr="00FC703D">
        <w:rPr>
          <w:rFonts w:cstheme="minorHAnsi"/>
          <w:bCs/>
          <w:iCs/>
          <w:color w:val="1F3864" w:themeColor="accent1" w:themeShade="80"/>
          <w:sz w:val="24"/>
          <w:szCs w:val="24"/>
        </w:rPr>
        <w:t>Challenging discrimination</w:t>
      </w:r>
    </w:p>
    <w:p w14:paraId="01647C02" w14:textId="5B15382B" w:rsidR="00FC703D" w:rsidRPr="00FC703D" w:rsidRDefault="00FC703D" w:rsidP="00FC703D">
      <w:pPr>
        <w:pStyle w:val="Content"/>
        <w:numPr>
          <w:ilvl w:val="0"/>
          <w:numId w:val="3"/>
        </w:numPr>
        <w:jc w:val="both"/>
        <w:rPr>
          <w:rFonts w:cstheme="minorHAnsi"/>
          <w:bCs/>
          <w:iCs/>
          <w:color w:val="1F3864" w:themeColor="accent1" w:themeShade="80"/>
          <w:sz w:val="24"/>
          <w:szCs w:val="24"/>
        </w:rPr>
      </w:pPr>
      <w:r w:rsidRPr="00FC703D">
        <w:rPr>
          <w:rFonts w:cstheme="minorHAnsi"/>
          <w:bCs/>
          <w:iCs/>
          <w:color w:val="1F3864" w:themeColor="accent1" w:themeShade="80"/>
          <w:sz w:val="24"/>
          <w:szCs w:val="24"/>
        </w:rPr>
        <w:t xml:space="preserve">Building </w:t>
      </w:r>
      <w:r>
        <w:rPr>
          <w:rFonts w:cstheme="minorHAnsi"/>
          <w:bCs/>
          <w:iCs/>
          <w:color w:val="1F3864" w:themeColor="accent1" w:themeShade="80"/>
          <w:sz w:val="24"/>
          <w:szCs w:val="24"/>
        </w:rPr>
        <w:t xml:space="preserve"> and maintaining </w:t>
      </w:r>
      <w:r w:rsidRPr="00FC703D">
        <w:rPr>
          <w:rFonts w:cstheme="minorHAnsi"/>
          <w:bCs/>
          <w:iCs/>
          <w:color w:val="1F3864" w:themeColor="accent1" w:themeShade="80"/>
          <w:sz w:val="24"/>
          <w:szCs w:val="24"/>
        </w:rPr>
        <w:t>trusted relationships with our young people</w:t>
      </w:r>
    </w:p>
    <w:p w14:paraId="06F5F727" w14:textId="00F0EA13" w:rsidR="00FC703D" w:rsidRPr="00FC703D" w:rsidRDefault="00FC703D" w:rsidP="00FC703D">
      <w:pPr>
        <w:pStyle w:val="Content"/>
        <w:numPr>
          <w:ilvl w:val="0"/>
          <w:numId w:val="3"/>
        </w:numPr>
        <w:jc w:val="both"/>
        <w:rPr>
          <w:rFonts w:cstheme="minorHAnsi"/>
          <w:bCs/>
          <w:iCs/>
          <w:color w:val="1F3864" w:themeColor="accent1" w:themeShade="80"/>
          <w:sz w:val="24"/>
          <w:szCs w:val="24"/>
        </w:rPr>
      </w:pPr>
      <w:r w:rsidRPr="00FC703D">
        <w:rPr>
          <w:rFonts w:cstheme="minorHAnsi"/>
          <w:bCs/>
          <w:iCs/>
          <w:color w:val="1F3864" w:themeColor="accent1" w:themeShade="80"/>
          <w:sz w:val="24"/>
          <w:szCs w:val="24"/>
        </w:rPr>
        <w:t xml:space="preserve">Being proactive and tenacious to achieve and do what is right for the </w:t>
      </w:r>
      <w:r w:rsidR="00DD7C8F">
        <w:rPr>
          <w:rFonts w:cstheme="minorHAnsi"/>
          <w:bCs/>
          <w:iCs/>
          <w:color w:val="1F3864" w:themeColor="accent1" w:themeShade="80"/>
          <w:sz w:val="24"/>
          <w:szCs w:val="24"/>
        </w:rPr>
        <w:t>young person</w:t>
      </w:r>
    </w:p>
    <w:p w14:paraId="14554BCA" w14:textId="77777777" w:rsidR="00FC703D" w:rsidRPr="00FC703D" w:rsidRDefault="00FC703D" w:rsidP="00FC703D">
      <w:pPr>
        <w:pStyle w:val="Content"/>
        <w:numPr>
          <w:ilvl w:val="0"/>
          <w:numId w:val="3"/>
        </w:numPr>
        <w:jc w:val="both"/>
        <w:rPr>
          <w:rFonts w:cstheme="minorHAnsi"/>
          <w:bCs/>
          <w:iCs/>
          <w:color w:val="1F3864" w:themeColor="accent1" w:themeShade="80"/>
          <w:sz w:val="24"/>
          <w:szCs w:val="24"/>
        </w:rPr>
      </w:pPr>
      <w:r w:rsidRPr="00FC703D">
        <w:rPr>
          <w:rFonts w:cstheme="minorHAnsi"/>
          <w:bCs/>
          <w:iCs/>
          <w:color w:val="1F3864" w:themeColor="accent1" w:themeShade="80"/>
          <w:sz w:val="24"/>
          <w:szCs w:val="24"/>
        </w:rPr>
        <w:t>Promoting desistance, including positive activities</w:t>
      </w:r>
    </w:p>
    <w:p w14:paraId="274948AF" w14:textId="6CD50388" w:rsidR="00FC703D" w:rsidRPr="00FC703D" w:rsidRDefault="00FC703D" w:rsidP="00FC703D">
      <w:pPr>
        <w:pStyle w:val="Content"/>
        <w:numPr>
          <w:ilvl w:val="0"/>
          <w:numId w:val="3"/>
        </w:numPr>
        <w:jc w:val="both"/>
        <w:rPr>
          <w:rFonts w:cstheme="minorHAnsi"/>
          <w:bCs/>
          <w:iCs/>
          <w:color w:val="1F3864" w:themeColor="accent1" w:themeShade="80"/>
          <w:sz w:val="24"/>
          <w:szCs w:val="24"/>
        </w:rPr>
      </w:pPr>
      <w:r w:rsidRPr="00FC703D">
        <w:rPr>
          <w:rFonts w:cstheme="minorHAnsi"/>
          <w:bCs/>
          <w:iCs/>
          <w:color w:val="1F3864" w:themeColor="accent1" w:themeShade="80"/>
          <w:sz w:val="24"/>
          <w:szCs w:val="24"/>
        </w:rPr>
        <w:t>Linking in with other agencies who can offer a supportive network to our young people</w:t>
      </w:r>
    </w:p>
    <w:p w14:paraId="6A72B10F" w14:textId="77777777" w:rsidR="00FC703D" w:rsidRPr="00FC703D" w:rsidRDefault="00FC703D" w:rsidP="00FC703D">
      <w:pPr>
        <w:pStyle w:val="Content"/>
        <w:numPr>
          <w:ilvl w:val="0"/>
          <w:numId w:val="3"/>
        </w:numPr>
        <w:jc w:val="both"/>
        <w:rPr>
          <w:rFonts w:cstheme="minorHAnsi"/>
          <w:bCs/>
          <w:iCs/>
          <w:color w:val="1F3864" w:themeColor="accent1" w:themeShade="80"/>
          <w:sz w:val="24"/>
          <w:szCs w:val="24"/>
        </w:rPr>
      </w:pPr>
      <w:r w:rsidRPr="00FC703D">
        <w:rPr>
          <w:rFonts w:cstheme="minorHAnsi"/>
          <w:bCs/>
          <w:iCs/>
          <w:color w:val="1F3864" w:themeColor="accent1" w:themeShade="80"/>
          <w:sz w:val="24"/>
          <w:szCs w:val="24"/>
        </w:rPr>
        <w:t>Being consistent, approachable, calm, interested and aware of our approach</w:t>
      </w:r>
    </w:p>
    <w:p w14:paraId="327A2685" w14:textId="77777777" w:rsidR="00FC703D" w:rsidRDefault="00FC703D" w:rsidP="00724664">
      <w:pPr>
        <w:rPr>
          <w:b/>
          <w:bCs/>
          <w:color w:val="1F3864" w:themeColor="accent1" w:themeShade="80"/>
        </w:rPr>
      </w:pPr>
    </w:p>
    <w:p w14:paraId="3FCE0365" w14:textId="01F7BFDB" w:rsidR="00724664" w:rsidRPr="00DD7C8F" w:rsidRDefault="00FC703D" w:rsidP="00DD7C8F">
      <w:pPr>
        <w:rPr>
          <w:b/>
          <w:bCs/>
          <w:color w:val="1F3864" w:themeColor="accent1" w:themeShade="80"/>
        </w:rPr>
      </w:pPr>
      <w:r>
        <w:rPr>
          <w:noProof/>
        </w:rPr>
        <w:lastRenderedPageBreak/>
        <w:drawing>
          <wp:inline distT="0" distB="0" distL="0" distR="0" wp14:anchorId="5990B723" wp14:editId="1FCEB0A1">
            <wp:extent cx="5647949" cy="888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8754" cy="8919561"/>
                    </a:xfrm>
                    <a:prstGeom prst="rect">
                      <a:avLst/>
                    </a:prstGeom>
                    <a:noFill/>
                  </pic:spPr>
                </pic:pic>
              </a:graphicData>
            </a:graphic>
          </wp:inline>
        </w:drawing>
      </w:r>
    </w:p>
    <w:sectPr w:rsidR="00724664" w:rsidRPr="00DD7C8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552D" w14:textId="77777777" w:rsidR="00F4577E" w:rsidRDefault="00F4577E" w:rsidP="00F4577E">
      <w:pPr>
        <w:spacing w:after="0" w:line="240" w:lineRule="auto"/>
      </w:pPr>
      <w:r>
        <w:separator/>
      </w:r>
    </w:p>
  </w:endnote>
  <w:endnote w:type="continuationSeparator" w:id="0">
    <w:p w14:paraId="22B190EA" w14:textId="77777777" w:rsidR="00F4577E" w:rsidRDefault="00F4577E" w:rsidP="00F4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FB5E" w14:textId="77777777" w:rsidR="00F4577E" w:rsidRDefault="00F45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54EA" w14:textId="77777777" w:rsidR="00F4577E" w:rsidRDefault="00F45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9937" w14:textId="77777777" w:rsidR="00F4577E" w:rsidRDefault="00F45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3BF4" w14:textId="77777777" w:rsidR="00F4577E" w:rsidRDefault="00F4577E" w:rsidP="00F4577E">
      <w:pPr>
        <w:spacing w:after="0" w:line="240" w:lineRule="auto"/>
      </w:pPr>
      <w:r>
        <w:separator/>
      </w:r>
    </w:p>
  </w:footnote>
  <w:footnote w:type="continuationSeparator" w:id="0">
    <w:p w14:paraId="0AC2478F" w14:textId="77777777" w:rsidR="00F4577E" w:rsidRDefault="00F4577E" w:rsidP="00F4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622F" w14:textId="77777777" w:rsidR="00F4577E" w:rsidRDefault="00F45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2F68" w14:textId="77777777" w:rsidR="00F4577E" w:rsidRDefault="00F45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326A" w14:textId="77777777" w:rsidR="00F4577E" w:rsidRDefault="00F45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D0E88"/>
    <w:multiLevelType w:val="hybridMultilevel"/>
    <w:tmpl w:val="36BC5548"/>
    <w:lvl w:ilvl="0" w:tplc="75B8786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EB3AB2"/>
    <w:multiLevelType w:val="hybridMultilevel"/>
    <w:tmpl w:val="FFCCBC3C"/>
    <w:lvl w:ilvl="0" w:tplc="C7B28040">
      <w:start w:val="1"/>
      <w:numFmt w:val="bullet"/>
      <w:lvlText w:val="•"/>
      <w:lvlJc w:val="left"/>
      <w:pPr>
        <w:tabs>
          <w:tab w:val="num" w:pos="720"/>
        </w:tabs>
        <w:ind w:left="720" w:hanging="360"/>
      </w:pPr>
      <w:rPr>
        <w:rFonts w:ascii="Arial" w:hAnsi="Arial" w:hint="default"/>
      </w:rPr>
    </w:lvl>
    <w:lvl w:ilvl="1" w:tplc="B5B456AA" w:tentative="1">
      <w:start w:val="1"/>
      <w:numFmt w:val="bullet"/>
      <w:lvlText w:val="•"/>
      <w:lvlJc w:val="left"/>
      <w:pPr>
        <w:tabs>
          <w:tab w:val="num" w:pos="1440"/>
        </w:tabs>
        <w:ind w:left="1440" w:hanging="360"/>
      </w:pPr>
      <w:rPr>
        <w:rFonts w:ascii="Arial" w:hAnsi="Arial" w:hint="default"/>
      </w:rPr>
    </w:lvl>
    <w:lvl w:ilvl="2" w:tplc="100011D8" w:tentative="1">
      <w:start w:val="1"/>
      <w:numFmt w:val="bullet"/>
      <w:lvlText w:val="•"/>
      <w:lvlJc w:val="left"/>
      <w:pPr>
        <w:tabs>
          <w:tab w:val="num" w:pos="2160"/>
        </w:tabs>
        <w:ind w:left="2160" w:hanging="360"/>
      </w:pPr>
      <w:rPr>
        <w:rFonts w:ascii="Arial" w:hAnsi="Arial" w:hint="default"/>
      </w:rPr>
    </w:lvl>
    <w:lvl w:ilvl="3" w:tplc="FB08201E" w:tentative="1">
      <w:start w:val="1"/>
      <w:numFmt w:val="bullet"/>
      <w:lvlText w:val="•"/>
      <w:lvlJc w:val="left"/>
      <w:pPr>
        <w:tabs>
          <w:tab w:val="num" w:pos="2880"/>
        </w:tabs>
        <w:ind w:left="2880" w:hanging="360"/>
      </w:pPr>
      <w:rPr>
        <w:rFonts w:ascii="Arial" w:hAnsi="Arial" w:hint="default"/>
      </w:rPr>
    </w:lvl>
    <w:lvl w:ilvl="4" w:tplc="83721494" w:tentative="1">
      <w:start w:val="1"/>
      <w:numFmt w:val="bullet"/>
      <w:lvlText w:val="•"/>
      <w:lvlJc w:val="left"/>
      <w:pPr>
        <w:tabs>
          <w:tab w:val="num" w:pos="3600"/>
        </w:tabs>
        <w:ind w:left="3600" w:hanging="360"/>
      </w:pPr>
      <w:rPr>
        <w:rFonts w:ascii="Arial" w:hAnsi="Arial" w:hint="default"/>
      </w:rPr>
    </w:lvl>
    <w:lvl w:ilvl="5" w:tplc="F050F73A" w:tentative="1">
      <w:start w:val="1"/>
      <w:numFmt w:val="bullet"/>
      <w:lvlText w:val="•"/>
      <w:lvlJc w:val="left"/>
      <w:pPr>
        <w:tabs>
          <w:tab w:val="num" w:pos="4320"/>
        </w:tabs>
        <w:ind w:left="4320" w:hanging="360"/>
      </w:pPr>
      <w:rPr>
        <w:rFonts w:ascii="Arial" w:hAnsi="Arial" w:hint="default"/>
      </w:rPr>
    </w:lvl>
    <w:lvl w:ilvl="6" w:tplc="0BDAE3EC" w:tentative="1">
      <w:start w:val="1"/>
      <w:numFmt w:val="bullet"/>
      <w:lvlText w:val="•"/>
      <w:lvlJc w:val="left"/>
      <w:pPr>
        <w:tabs>
          <w:tab w:val="num" w:pos="5040"/>
        </w:tabs>
        <w:ind w:left="5040" w:hanging="360"/>
      </w:pPr>
      <w:rPr>
        <w:rFonts w:ascii="Arial" w:hAnsi="Arial" w:hint="default"/>
      </w:rPr>
    </w:lvl>
    <w:lvl w:ilvl="7" w:tplc="57024710" w:tentative="1">
      <w:start w:val="1"/>
      <w:numFmt w:val="bullet"/>
      <w:lvlText w:val="•"/>
      <w:lvlJc w:val="left"/>
      <w:pPr>
        <w:tabs>
          <w:tab w:val="num" w:pos="5760"/>
        </w:tabs>
        <w:ind w:left="5760" w:hanging="360"/>
      </w:pPr>
      <w:rPr>
        <w:rFonts w:ascii="Arial" w:hAnsi="Arial" w:hint="default"/>
      </w:rPr>
    </w:lvl>
    <w:lvl w:ilvl="8" w:tplc="8242AF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C1853AC"/>
    <w:multiLevelType w:val="hybridMultilevel"/>
    <w:tmpl w:val="5EC2D3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CAD194F"/>
    <w:multiLevelType w:val="hybridMultilevel"/>
    <w:tmpl w:val="601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023A7D"/>
    <w:multiLevelType w:val="hybridMultilevel"/>
    <w:tmpl w:val="357C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29706">
    <w:abstractNumId w:val="4"/>
  </w:num>
  <w:num w:numId="2" w16cid:durableId="1629241593">
    <w:abstractNumId w:val="3"/>
  </w:num>
  <w:num w:numId="3" w16cid:durableId="1085616728">
    <w:abstractNumId w:val="0"/>
  </w:num>
  <w:num w:numId="4" w16cid:durableId="566889237">
    <w:abstractNumId w:val="2"/>
  </w:num>
  <w:num w:numId="5" w16cid:durableId="740299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64"/>
    <w:rsid w:val="00562933"/>
    <w:rsid w:val="00724664"/>
    <w:rsid w:val="00DD7C8F"/>
    <w:rsid w:val="00F4577E"/>
    <w:rsid w:val="00FC7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C4B1C9"/>
  <w15:chartTrackingRefBased/>
  <w15:docId w15:val="{99F244FE-2C4E-4FBA-AF4D-3E52B6F1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664"/>
    <w:pPr>
      <w:ind w:left="720"/>
      <w:contextualSpacing/>
    </w:pPr>
  </w:style>
  <w:style w:type="paragraph" w:customStyle="1" w:styleId="Content">
    <w:name w:val="Content"/>
    <w:basedOn w:val="Normal"/>
    <w:link w:val="ContentChar"/>
    <w:qFormat/>
    <w:rsid w:val="00FC703D"/>
    <w:pPr>
      <w:spacing w:after="0" w:line="276" w:lineRule="auto"/>
    </w:pPr>
    <w:rPr>
      <w:rFonts w:eastAsiaTheme="minorEastAsia"/>
      <w:color w:val="44546A" w:themeColor="text2"/>
      <w:kern w:val="0"/>
      <w:sz w:val="28"/>
      <w:lang w:val="en-US"/>
    </w:rPr>
  </w:style>
  <w:style w:type="character" w:customStyle="1" w:styleId="ContentChar">
    <w:name w:val="Content Char"/>
    <w:basedOn w:val="DefaultParagraphFont"/>
    <w:link w:val="Content"/>
    <w:rsid w:val="00FC703D"/>
    <w:rPr>
      <w:rFonts w:eastAsiaTheme="minorEastAsia"/>
      <w:color w:val="44546A" w:themeColor="text2"/>
      <w:kern w:val="0"/>
      <w:sz w:val="28"/>
      <w:lang w:val="en-US"/>
    </w:rPr>
  </w:style>
  <w:style w:type="paragraph" w:styleId="Header">
    <w:name w:val="header"/>
    <w:basedOn w:val="Normal"/>
    <w:link w:val="HeaderChar"/>
    <w:uiPriority w:val="99"/>
    <w:unhideWhenUsed/>
    <w:rsid w:val="00F45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77E"/>
  </w:style>
  <w:style w:type="paragraph" w:styleId="Footer">
    <w:name w:val="footer"/>
    <w:basedOn w:val="Normal"/>
    <w:link w:val="FooterChar"/>
    <w:uiPriority w:val="99"/>
    <w:unhideWhenUsed/>
    <w:rsid w:val="00F45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046019">
      <w:bodyDiv w:val="1"/>
      <w:marLeft w:val="0"/>
      <w:marRight w:val="0"/>
      <w:marTop w:val="0"/>
      <w:marBottom w:val="0"/>
      <w:divBdr>
        <w:top w:val="none" w:sz="0" w:space="0" w:color="auto"/>
        <w:left w:val="none" w:sz="0" w:space="0" w:color="auto"/>
        <w:bottom w:val="none" w:sz="0" w:space="0" w:color="auto"/>
        <w:right w:val="none" w:sz="0" w:space="0" w:color="auto"/>
      </w:divBdr>
    </w:div>
    <w:div w:id="2133356760">
      <w:bodyDiv w:val="1"/>
      <w:marLeft w:val="0"/>
      <w:marRight w:val="0"/>
      <w:marTop w:val="0"/>
      <w:marBottom w:val="0"/>
      <w:divBdr>
        <w:top w:val="none" w:sz="0" w:space="0" w:color="auto"/>
        <w:left w:val="none" w:sz="0" w:space="0" w:color="auto"/>
        <w:bottom w:val="none" w:sz="0" w:space="0" w:color="auto"/>
        <w:right w:val="none" w:sz="0" w:space="0" w:color="auto"/>
      </w:divBdr>
      <w:divsChild>
        <w:div w:id="1366369324">
          <w:marLeft w:val="360"/>
          <w:marRight w:val="0"/>
          <w:marTop w:val="200"/>
          <w:marBottom w:val="0"/>
          <w:divBdr>
            <w:top w:val="none" w:sz="0" w:space="0" w:color="auto"/>
            <w:left w:val="none" w:sz="0" w:space="0" w:color="auto"/>
            <w:bottom w:val="none" w:sz="0" w:space="0" w:color="auto"/>
            <w:right w:val="none" w:sz="0" w:space="0" w:color="auto"/>
          </w:divBdr>
        </w:div>
        <w:div w:id="1909801345">
          <w:marLeft w:val="360"/>
          <w:marRight w:val="0"/>
          <w:marTop w:val="200"/>
          <w:marBottom w:val="0"/>
          <w:divBdr>
            <w:top w:val="none" w:sz="0" w:space="0" w:color="auto"/>
            <w:left w:val="none" w:sz="0" w:space="0" w:color="auto"/>
            <w:bottom w:val="none" w:sz="0" w:space="0" w:color="auto"/>
            <w:right w:val="none" w:sz="0" w:space="0" w:color="auto"/>
          </w:divBdr>
        </w:div>
        <w:div w:id="1430808855">
          <w:marLeft w:val="360"/>
          <w:marRight w:val="0"/>
          <w:marTop w:val="200"/>
          <w:marBottom w:val="0"/>
          <w:divBdr>
            <w:top w:val="none" w:sz="0" w:space="0" w:color="auto"/>
            <w:left w:val="none" w:sz="0" w:space="0" w:color="auto"/>
            <w:bottom w:val="none" w:sz="0" w:space="0" w:color="auto"/>
            <w:right w:val="none" w:sz="0" w:space="0" w:color="auto"/>
          </w:divBdr>
        </w:div>
        <w:div w:id="2097562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FE446CCBAA6439BF1FC0DF297E0A8" ma:contentTypeVersion="18" ma:contentTypeDescription="Create a new document." ma:contentTypeScope="" ma:versionID="3f67704521a835391ff38b34f1704e6e">
  <xsd:schema xmlns:xsd="http://www.w3.org/2001/XMLSchema" xmlns:xs="http://www.w3.org/2001/XMLSchema" xmlns:p="http://schemas.microsoft.com/office/2006/metadata/properties" xmlns:ns2="64baf035-75f5-4877-b00f-cfbf1e5640a8" xmlns:ns3="f59293ac-a710-48e3-855d-bd80562dcbad" targetNamespace="http://schemas.microsoft.com/office/2006/metadata/properties" ma:root="true" ma:fieldsID="9b511a2959a9b04f6219766c8bc667db" ns2:_="" ns3:_="">
    <xsd:import namespace="64baf035-75f5-4877-b00f-cfbf1e5640a8"/>
    <xsd:import namespace="f59293ac-a710-48e3-855d-bd80562dcb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f035-75f5-4877-b00f-cfbf1e564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293ac-a710-48e3-855d-bd80562dcb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fb8f908-cde5-4182-9494-0e98ed47c9b6}" ma:internalName="TaxCatchAll" ma:showField="CatchAllData" ma:web="f59293ac-a710-48e3-855d-bd80562dc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baf035-75f5-4877-b00f-cfbf1e5640a8">
      <Terms xmlns="http://schemas.microsoft.com/office/infopath/2007/PartnerControls"/>
    </lcf76f155ced4ddcb4097134ff3c332f>
    <TaxCatchAll xmlns="f59293ac-a710-48e3-855d-bd80562dcbad" xsi:nil="true"/>
  </documentManagement>
</p:properties>
</file>

<file path=customXml/itemProps1.xml><?xml version="1.0" encoding="utf-8"?>
<ds:datastoreItem xmlns:ds="http://schemas.openxmlformats.org/officeDocument/2006/customXml" ds:itemID="{E9455EF3-1BF1-4AD7-93C7-AC2C386549E4}"/>
</file>

<file path=customXml/itemProps2.xml><?xml version="1.0" encoding="utf-8"?>
<ds:datastoreItem xmlns:ds="http://schemas.openxmlformats.org/officeDocument/2006/customXml" ds:itemID="{522246FC-6890-44FA-97EA-36027045F6BF}"/>
</file>

<file path=customXml/itemProps3.xml><?xml version="1.0" encoding="utf-8"?>
<ds:datastoreItem xmlns:ds="http://schemas.openxmlformats.org/officeDocument/2006/customXml" ds:itemID="{15421B54-0C9B-4906-9C7F-86726E7E5E08}"/>
</file>

<file path=docProps/app.xml><?xml version="1.0" encoding="utf-8"?>
<Properties xmlns="http://schemas.openxmlformats.org/officeDocument/2006/extended-properties" xmlns:vt="http://schemas.openxmlformats.org/officeDocument/2006/docPropsVTypes">
  <Template>Normal</Template>
  <TotalTime>25</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Watts</dc:creator>
  <cp:keywords/>
  <dc:description/>
  <cp:lastModifiedBy>Ross Watts</cp:lastModifiedBy>
  <cp:revision>2</cp:revision>
  <dcterms:created xsi:type="dcterms:W3CDTF">2024-07-22T11:41:00Z</dcterms:created>
  <dcterms:modified xsi:type="dcterms:W3CDTF">2024-07-22T12:07:00Z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0x010100BDEFE446CCBAA6439BF1FC0DF297E0A8</vt:lpwstr>
  </property>
</Properties>
</file>