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6" w:type="dxa"/>
        <w:tblCellMar>
          <w:top w:w="340" w:type="dxa"/>
          <w:left w:w="340" w:type="dxa"/>
          <w:bottom w:w="340" w:type="dxa"/>
          <w:right w:w="340" w:type="dxa"/>
        </w:tblCellMar>
        <w:tblLook w:val="04A0" w:firstRow="1" w:lastRow="0" w:firstColumn="1" w:lastColumn="0" w:noHBand="0" w:noVBand="1"/>
      </w:tblPr>
      <w:tblGrid>
        <w:gridCol w:w="10746"/>
      </w:tblGrid>
      <w:tr w:rsidR="00663D27" w:rsidRPr="00F00B48" w14:paraId="065A8EA8" w14:textId="77777777" w:rsidTr="00C813F0">
        <w:trPr>
          <w:trHeight w:val="11424"/>
        </w:trPr>
        <w:tc>
          <w:tcPr>
            <w:tcW w:w="107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FFF" w:themeFill="background1"/>
          </w:tcPr>
          <w:p w14:paraId="665907BE" w14:textId="71D721A4" w:rsidR="001027BC" w:rsidRDefault="00353C1C" w:rsidP="00C76D89">
            <w:pPr>
              <w:pStyle w:val="Heading2"/>
            </w:pPr>
            <w:bookmarkStart w:id="0" w:name="_Hlk163470159"/>
            <w:r w:rsidRPr="00437758">
              <w:t xml:space="preserve">What Is a Regulation 24 </w:t>
            </w:r>
            <w:r w:rsidR="00275F57">
              <w:t>arrangement</w:t>
            </w:r>
            <w:r w:rsidRPr="00437758">
              <w:t>?</w:t>
            </w:r>
          </w:p>
          <w:p w14:paraId="2F2B54E7" w14:textId="1B73D8D6" w:rsidR="00E030DB" w:rsidRDefault="00E030DB" w:rsidP="00E030DB">
            <w:pPr>
              <w:spacing w:line="259" w:lineRule="auto"/>
              <w:rPr>
                <w:color w:val="auto"/>
                <w:lang w:val="en-GB"/>
              </w:rPr>
            </w:pPr>
            <w:r w:rsidRPr="00E030DB">
              <w:rPr>
                <w:color w:val="auto"/>
                <w:lang w:val="en-GB"/>
              </w:rPr>
              <w:t xml:space="preserve">A child can </w:t>
            </w:r>
            <w:r w:rsidR="00275F57">
              <w:rPr>
                <w:color w:val="auto"/>
                <w:lang w:val="en-GB"/>
              </w:rPr>
              <w:t>live</w:t>
            </w:r>
            <w:r w:rsidRPr="00E030DB">
              <w:rPr>
                <w:color w:val="auto"/>
                <w:lang w:val="en-GB"/>
              </w:rPr>
              <w:t xml:space="preserve"> with a Connected Person for up to 16 weeks under Regulation 24 of the Care Planning, Placement and Case Review (England) Regulations 2010. Regulation 24(1) provides that where the local authority is satisfied that an immediate </w:t>
            </w:r>
            <w:r w:rsidR="00275F57">
              <w:rPr>
                <w:color w:val="auto"/>
                <w:lang w:val="en-GB"/>
              </w:rPr>
              <w:t>home</w:t>
            </w:r>
            <w:r w:rsidRPr="00E030DB">
              <w:rPr>
                <w:color w:val="auto"/>
                <w:lang w:val="en-GB"/>
              </w:rPr>
              <w:t xml:space="preserve"> with a Connected Persons is the most appropriate </w:t>
            </w:r>
            <w:r w:rsidR="008B720C">
              <w:rPr>
                <w:color w:val="auto"/>
                <w:lang w:val="en-GB"/>
              </w:rPr>
              <w:t>arrangemen</w:t>
            </w:r>
            <w:r w:rsidRPr="00E030DB">
              <w:rPr>
                <w:color w:val="auto"/>
                <w:lang w:val="en-GB"/>
              </w:rPr>
              <w:t>t for the child, the carers can have temporary approval for a period of up to 16 weeks provided that an assessment of their suitability under Regulation 24(2) has taken place. Regulation 25 of the 2010 Care Planning Regulations gives an extension of 8 weeks to the original 16 weeks.</w:t>
            </w:r>
          </w:p>
          <w:p w14:paraId="5C75DA24" w14:textId="77777777" w:rsidR="00E030DB" w:rsidRPr="00E030DB" w:rsidRDefault="00E030DB" w:rsidP="00E030DB">
            <w:pPr>
              <w:spacing w:line="259" w:lineRule="auto"/>
              <w:rPr>
                <w:color w:val="auto"/>
                <w:lang w:val="en-GB"/>
              </w:rPr>
            </w:pPr>
          </w:p>
          <w:p w14:paraId="2C64E667" w14:textId="7481D16A" w:rsidR="00E030DB" w:rsidRDefault="00E030DB" w:rsidP="00E030DB">
            <w:pPr>
              <w:spacing w:line="259" w:lineRule="auto"/>
              <w:rPr>
                <w:color w:val="auto"/>
                <w:lang w:val="en-GB"/>
              </w:rPr>
            </w:pPr>
            <w:r w:rsidRPr="00E030DB">
              <w:rPr>
                <w:color w:val="auto"/>
                <w:lang w:val="en-GB"/>
              </w:rPr>
              <w:t xml:space="preserve">These provisions are to be used only in </w:t>
            </w:r>
            <w:r w:rsidRPr="00E030DB">
              <w:rPr>
                <w:b/>
                <w:bCs/>
                <w:color w:val="auto"/>
                <w:lang w:val="en-GB"/>
              </w:rPr>
              <w:t>exceptional circumstances</w:t>
            </w:r>
            <w:r w:rsidRPr="00E030DB">
              <w:rPr>
                <w:color w:val="auto"/>
                <w:lang w:val="en-GB"/>
              </w:rPr>
              <w:t xml:space="preserve"> and where there are clearly defined reasons why a full foster carer assessment cannot be undertaken before </w:t>
            </w:r>
            <w:r w:rsidR="008B720C" w:rsidRPr="00E030DB">
              <w:rPr>
                <w:color w:val="auto"/>
                <w:lang w:val="en-GB"/>
              </w:rPr>
              <w:t>an</w:t>
            </w:r>
            <w:r w:rsidRPr="00E030DB">
              <w:rPr>
                <w:color w:val="auto"/>
                <w:lang w:val="en-GB"/>
              </w:rPr>
              <w:t xml:space="preserve"> </w:t>
            </w:r>
            <w:r w:rsidR="008B720C">
              <w:rPr>
                <w:color w:val="auto"/>
                <w:lang w:val="en-GB"/>
              </w:rPr>
              <w:t>arrangement</w:t>
            </w:r>
            <w:r w:rsidRPr="00E030DB">
              <w:rPr>
                <w:color w:val="auto"/>
                <w:lang w:val="en-GB"/>
              </w:rPr>
              <w:t xml:space="preserve"> is made. There is a risk that if a child </w:t>
            </w:r>
            <w:r w:rsidR="008B720C">
              <w:rPr>
                <w:color w:val="auto"/>
                <w:lang w:val="en-GB"/>
              </w:rPr>
              <w:t>moves in</w:t>
            </w:r>
            <w:r w:rsidRPr="00E030DB">
              <w:rPr>
                <w:color w:val="auto"/>
                <w:lang w:val="en-GB"/>
              </w:rPr>
              <w:t xml:space="preserve"> before the </w:t>
            </w:r>
            <w:r w:rsidR="008B720C">
              <w:rPr>
                <w:color w:val="auto"/>
                <w:lang w:val="en-GB"/>
              </w:rPr>
              <w:t>assessment</w:t>
            </w:r>
            <w:r w:rsidRPr="00E030DB">
              <w:rPr>
                <w:color w:val="auto"/>
                <w:lang w:val="en-GB"/>
              </w:rPr>
              <w:t xml:space="preserve"> of the carer as a local authority foster carer they may not be approved at the end of the process resulting in a further move for the child.</w:t>
            </w:r>
          </w:p>
          <w:p w14:paraId="66174C15" w14:textId="77777777" w:rsidR="00E030DB" w:rsidRPr="00E030DB" w:rsidRDefault="00E030DB" w:rsidP="00E030DB">
            <w:pPr>
              <w:spacing w:line="259" w:lineRule="auto"/>
              <w:rPr>
                <w:color w:val="auto"/>
                <w:lang w:val="en-GB"/>
              </w:rPr>
            </w:pPr>
          </w:p>
          <w:p w14:paraId="35E7D802" w14:textId="75DB217E" w:rsidR="00E030DB" w:rsidRPr="00E030DB" w:rsidRDefault="00E030DB" w:rsidP="00E030DB">
            <w:pPr>
              <w:spacing w:line="259" w:lineRule="auto"/>
              <w:rPr>
                <w:color w:val="auto"/>
                <w:lang w:val="en-GB"/>
              </w:rPr>
            </w:pPr>
            <w:r w:rsidRPr="00E030DB">
              <w:rPr>
                <w:color w:val="auto"/>
                <w:lang w:val="en-GB"/>
              </w:rPr>
              <w:t xml:space="preserve">As with any </w:t>
            </w:r>
            <w:r w:rsidR="008B720C">
              <w:rPr>
                <w:color w:val="auto"/>
                <w:lang w:val="en-GB"/>
              </w:rPr>
              <w:t>arrangement</w:t>
            </w:r>
            <w:r w:rsidRPr="00E030DB">
              <w:rPr>
                <w:color w:val="auto"/>
                <w:lang w:val="en-GB"/>
              </w:rPr>
              <w:t xml:space="preserve"> the responsible Authority must be satisfied that </w:t>
            </w:r>
            <w:r w:rsidR="008B720C">
              <w:rPr>
                <w:color w:val="auto"/>
                <w:lang w:val="en-GB"/>
              </w:rPr>
              <w:t>it</w:t>
            </w:r>
            <w:r w:rsidRPr="00E030DB">
              <w:rPr>
                <w:color w:val="auto"/>
                <w:lang w:val="en-GB"/>
              </w:rPr>
              <w:t xml:space="preserve"> is:</w:t>
            </w:r>
          </w:p>
          <w:p w14:paraId="1A568F5C" w14:textId="77777777" w:rsidR="00E030DB" w:rsidRPr="00E030DB" w:rsidRDefault="00E030DB" w:rsidP="00E030DB">
            <w:pPr>
              <w:numPr>
                <w:ilvl w:val="0"/>
                <w:numId w:val="32"/>
              </w:numPr>
              <w:spacing w:line="259" w:lineRule="auto"/>
              <w:rPr>
                <w:color w:val="auto"/>
                <w:lang w:val="en-GB"/>
              </w:rPr>
            </w:pPr>
            <w:r w:rsidRPr="00E030DB">
              <w:rPr>
                <w:color w:val="auto"/>
                <w:lang w:val="en-GB"/>
              </w:rPr>
              <w:t>The most suitable means to safeguard and promote the child's welfare, notwithstanding the Connected Person is not yet approved as a foster carer;</w:t>
            </w:r>
          </w:p>
          <w:p w14:paraId="05C66C9B" w14:textId="2D33A8E5" w:rsidR="00E030DB" w:rsidRPr="00E030DB" w:rsidRDefault="00E030DB" w:rsidP="00E030DB">
            <w:pPr>
              <w:numPr>
                <w:ilvl w:val="0"/>
                <w:numId w:val="32"/>
              </w:numPr>
              <w:spacing w:line="259" w:lineRule="auto"/>
              <w:rPr>
                <w:color w:val="auto"/>
                <w:lang w:val="en-GB"/>
              </w:rPr>
            </w:pPr>
            <w:r w:rsidRPr="00E030DB">
              <w:rPr>
                <w:color w:val="auto"/>
                <w:lang w:val="en-GB"/>
              </w:rPr>
              <w:t xml:space="preserve">The Authority must be satisfied that it is necessary for the child to </w:t>
            </w:r>
            <w:r w:rsidR="008B720C">
              <w:rPr>
                <w:color w:val="auto"/>
                <w:lang w:val="en-GB"/>
              </w:rPr>
              <w:t>live</w:t>
            </w:r>
            <w:r w:rsidRPr="00E030DB">
              <w:rPr>
                <w:color w:val="auto"/>
                <w:lang w:val="en-GB"/>
              </w:rPr>
              <w:t xml:space="preserve"> with the Connected Person before the Connected Person's suitability to be a foster carer has been assessed in accordance with the Regulations.</w:t>
            </w:r>
          </w:p>
          <w:p w14:paraId="5660200D" w14:textId="77777777" w:rsidR="00E030DB" w:rsidRDefault="00E030DB" w:rsidP="001027BC">
            <w:pPr>
              <w:spacing w:line="259" w:lineRule="auto"/>
              <w:rPr>
                <w:color w:val="0070C0"/>
                <w:u w:val="single"/>
              </w:rPr>
            </w:pPr>
          </w:p>
          <w:p w14:paraId="51FE1D2A" w14:textId="5D27AE8C" w:rsidR="0015069A" w:rsidRPr="00437758" w:rsidRDefault="0015069A" w:rsidP="00C76D89">
            <w:pPr>
              <w:pStyle w:val="Heading3"/>
            </w:pPr>
            <w:r w:rsidRPr="00437758">
              <w:t>Who Is a Connected Person?</w:t>
            </w:r>
          </w:p>
          <w:p w14:paraId="1CB1AF60" w14:textId="77777777" w:rsidR="0015069A" w:rsidRPr="00F05BE8" w:rsidRDefault="0015069A" w:rsidP="001027BC">
            <w:pPr>
              <w:spacing w:line="259" w:lineRule="auto"/>
              <w:rPr>
                <w:color w:val="auto"/>
              </w:rPr>
            </w:pPr>
            <w:r w:rsidRPr="00F05BE8">
              <w:rPr>
                <w:color w:val="auto"/>
              </w:rPr>
              <w:t>A connected person is someone who has a pre-existing relationship with the child. This includes:</w:t>
            </w:r>
          </w:p>
          <w:p w14:paraId="67A1A48E" w14:textId="750162B6" w:rsidR="0015069A" w:rsidRPr="00F05BE8" w:rsidRDefault="0015069A" w:rsidP="001D2632">
            <w:pPr>
              <w:numPr>
                <w:ilvl w:val="0"/>
                <w:numId w:val="26"/>
              </w:numPr>
              <w:spacing w:line="276" w:lineRule="auto"/>
              <w:rPr>
                <w:color w:val="auto"/>
              </w:rPr>
            </w:pPr>
            <w:r w:rsidRPr="00F05BE8">
              <w:rPr>
                <w:color w:val="auto"/>
              </w:rPr>
              <w:t xml:space="preserve">Relatives: Grandparents, siblings, aunts/uncles, </w:t>
            </w:r>
            <w:r w:rsidR="00275F57" w:rsidRPr="00F05BE8">
              <w:rPr>
                <w:color w:val="auto"/>
              </w:rPr>
              <w:t>stepparents</w:t>
            </w:r>
          </w:p>
          <w:p w14:paraId="3F32BBA5" w14:textId="77777777" w:rsidR="0015069A" w:rsidRPr="00F05BE8" w:rsidRDefault="0015069A" w:rsidP="001D2632">
            <w:pPr>
              <w:numPr>
                <w:ilvl w:val="0"/>
                <w:numId w:val="26"/>
              </w:numPr>
              <w:spacing w:line="276" w:lineRule="auto"/>
              <w:rPr>
                <w:color w:val="auto"/>
              </w:rPr>
            </w:pPr>
            <w:r w:rsidRPr="00F05BE8">
              <w:rPr>
                <w:color w:val="auto"/>
              </w:rPr>
              <w:t>Friends: Close family friends or neighbours</w:t>
            </w:r>
          </w:p>
          <w:p w14:paraId="60956B5A" w14:textId="021FF313" w:rsidR="006E470F" w:rsidRPr="00F05BE8" w:rsidRDefault="0015069A" w:rsidP="001D2632">
            <w:pPr>
              <w:numPr>
                <w:ilvl w:val="0"/>
                <w:numId w:val="26"/>
              </w:numPr>
              <w:spacing w:line="276" w:lineRule="auto"/>
              <w:rPr>
                <w:color w:val="auto"/>
              </w:rPr>
            </w:pPr>
            <w:r w:rsidRPr="00F05BE8">
              <w:rPr>
                <w:color w:val="auto"/>
              </w:rPr>
              <w:t>Others: Individuals like teachers, childminders, or youth workers who know the child well</w:t>
            </w:r>
          </w:p>
          <w:p w14:paraId="39E0F2EF" w14:textId="77777777" w:rsidR="006E470F" w:rsidRDefault="006E470F" w:rsidP="006E470F">
            <w:pPr>
              <w:rPr>
                <w:b/>
                <w:bCs/>
                <w:lang w:val="en-GB"/>
              </w:rPr>
            </w:pPr>
          </w:p>
          <w:p w14:paraId="488597D9" w14:textId="4AB6CEEB" w:rsidR="006E470F" w:rsidRPr="006E470F" w:rsidRDefault="006E470F" w:rsidP="00C76D89">
            <w:pPr>
              <w:pStyle w:val="Heading3"/>
              <w:rPr>
                <w:lang w:val="en-GB"/>
              </w:rPr>
            </w:pPr>
            <w:r w:rsidRPr="006E470F">
              <w:rPr>
                <w:lang w:val="en-GB"/>
              </w:rPr>
              <w:t xml:space="preserve">Situations </w:t>
            </w:r>
            <w:r w:rsidR="001D545E">
              <w:rPr>
                <w:lang w:val="en-GB"/>
              </w:rPr>
              <w:t>w</w:t>
            </w:r>
            <w:r w:rsidRPr="006E470F">
              <w:rPr>
                <w:lang w:val="en-GB"/>
              </w:rPr>
              <w:t xml:space="preserve">here these </w:t>
            </w:r>
            <w:r w:rsidR="001D545E">
              <w:rPr>
                <w:lang w:val="en-GB"/>
              </w:rPr>
              <w:t>p</w:t>
            </w:r>
            <w:r w:rsidRPr="006E470F">
              <w:rPr>
                <w:lang w:val="en-GB"/>
              </w:rPr>
              <w:t xml:space="preserve">rocedures do not </w:t>
            </w:r>
            <w:r w:rsidR="001D545E">
              <w:rPr>
                <w:lang w:val="en-GB"/>
              </w:rPr>
              <w:t>a</w:t>
            </w:r>
            <w:r w:rsidRPr="006E470F">
              <w:rPr>
                <w:lang w:val="en-GB"/>
              </w:rPr>
              <w:t>pply</w:t>
            </w:r>
          </w:p>
          <w:p w14:paraId="481F4882" w14:textId="77777777" w:rsidR="006E470F" w:rsidRDefault="006E470F" w:rsidP="006E470F">
            <w:pPr>
              <w:rPr>
                <w:color w:val="auto"/>
                <w:lang w:val="en-GB"/>
              </w:rPr>
            </w:pPr>
            <w:r w:rsidRPr="006E470F">
              <w:rPr>
                <w:color w:val="auto"/>
                <w:lang w:val="en-GB"/>
              </w:rPr>
              <w:t>These procedures do not apply where a child (under 16 years) goes to live with a relative or friend and this is a private arrangement between the parent/person with Parental Responsibility and carer.</w:t>
            </w:r>
          </w:p>
          <w:p w14:paraId="380B5163" w14:textId="77777777" w:rsidR="00415075" w:rsidRPr="006E470F" w:rsidRDefault="00415075" w:rsidP="006E470F">
            <w:pPr>
              <w:rPr>
                <w:color w:val="auto"/>
                <w:lang w:val="en-GB"/>
              </w:rPr>
            </w:pPr>
          </w:p>
          <w:p w14:paraId="732D738C" w14:textId="334A0A4D" w:rsidR="006E470F" w:rsidRPr="006E470F" w:rsidRDefault="006E470F" w:rsidP="006E470F">
            <w:pPr>
              <w:rPr>
                <w:color w:val="auto"/>
                <w:lang w:val="en-GB"/>
              </w:rPr>
            </w:pPr>
            <w:r w:rsidRPr="006E470F">
              <w:rPr>
                <w:color w:val="auto"/>
                <w:lang w:val="en-GB"/>
              </w:rPr>
              <w:t xml:space="preserve">If this </w:t>
            </w:r>
            <w:r w:rsidR="008B720C">
              <w:rPr>
                <w:color w:val="auto"/>
                <w:lang w:val="en-GB"/>
              </w:rPr>
              <w:t>arrangemen</w:t>
            </w:r>
            <w:r w:rsidRPr="006E470F">
              <w:rPr>
                <w:color w:val="auto"/>
                <w:lang w:val="en-GB"/>
              </w:rPr>
              <w:t xml:space="preserve">t continues for 28 days or more, the child may come within the definition of a Privately Fostered child, in which case the local authority's duties in relation to the </w:t>
            </w:r>
            <w:r w:rsidR="008B720C">
              <w:rPr>
                <w:color w:val="auto"/>
                <w:lang w:val="en-GB"/>
              </w:rPr>
              <w:t>arrangemen</w:t>
            </w:r>
            <w:r w:rsidRPr="006E470F">
              <w:rPr>
                <w:color w:val="auto"/>
                <w:lang w:val="en-GB"/>
              </w:rPr>
              <w:t>t are set out in the </w:t>
            </w:r>
            <w:r w:rsidR="002A3117">
              <w:rPr>
                <w:color w:val="auto"/>
                <w:lang w:val="en-GB"/>
              </w:rPr>
              <w:t xml:space="preserve">local authorities </w:t>
            </w:r>
            <w:hyperlink r:id="rId12" w:history="1">
              <w:r w:rsidRPr="006E470F">
                <w:rPr>
                  <w:rStyle w:val="Hyperlink"/>
                  <w:color w:val="auto"/>
                  <w:u w:val="none"/>
                  <w:lang w:val="en-GB"/>
                </w:rPr>
                <w:t>Private Fostering Procedure</w:t>
              </w:r>
            </w:hyperlink>
            <w:r w:rsidRPr="006E470F">
              <w:rPr>
                <w:color w:val="auto"/>
                <w:lang w:val="en-GB"/>
              </w:rPr>
              <w:t>.</w:t>
            </w:r>
          </w:p>
          <w:p w14:paraId="2DB2FE5A" w14:textId="77777777" w:rsidR="004C1FDD" w:rsidRPr="004C1FDD" w:rsidRDefault="004C1FDD" w:rsidP="006253DA">
            <w:pPr>
              <w:rPr>
                <w:color w:val="auto"/>
              </w:rPr>
            </w:pPr>
          </w:p>
          <w:p w14:paraId="1ED5B844" w14:textId="77777777" w:rsidR="00A707E5" w:rsidRPr="00437758" w:rsidRDefault="00A707E5" w:rsidP="00C76D89">
            <w:pPr>
              <w:pStyle w:val="Heading3"/>
            </w:pPr>
            <w:r w:rsidRPr="00437758">
              <w:t>Initial Checks and Viability Assessment</w:t>
            </w:r>
          </w:p>
          <w:p w14:paraId="080AC879" w14:textId="50A8F870" w:rsidR="00A707E5" w:rsidRPr="00437758" w:rsidRDefault="00A707E5" w:rsidP="001027BC">
            <w:pPr>
              <w:spacing w:line="259" w:lineRule="auto"/>
              <w:rPr>
                <w:color w:val="auto"/>
              </w:rPr>
            </w:pPr>
            <w:r w:rsidRPr="00437758">
              <w:rPr>
                <w:color w:val="auto"/>
              </w:rPr>
              <w:t xml:space="preserve">Before </w:t>
            </w:r>
            <w:r w:rsidR="008B720C">
              <w:rPr>
                <w:color w:val="auto"/>
              </w:rPr>
              <w:t>moving</w:t>
            </w:r>
            <w:r w:rsidRPr="00437758">
              <w:rPr>
                <w:color w:val="auto"/>
              </w:rPr>
              <w:t xml:space="preserve"> a child </w:t>
            </w:r>
            <w:proofErr w:type="gramStart"/>
            <w:r w:rsidRPr="00437758">
              <w:rPr>
                <w:color w:val="auto"/>
              </w:rPr>
              <w:t>under Regulation</w:t>
            </w:r>
            <w:proofErr w:type="gramEnd"/>
            <w:r w:rsidRPr="00437758">
              <w:rPr>
                <w:color w:val="auto"/>
              </w:rPr>
              <w:t xml:space="preserve"> 24, the </w:t>
            </w:r>
            <w:r w:rsidR="001D545E">
              <w:rPr>
                <w:color w:val="auto"/>
              </w:rPr>
              <w:t>child’s social worker</w:t>
            </w:r>
            <w:r w:rsidRPr="00437758">
              <w:rPr>
                <w:color w:val="auto"/>
              </w:rPr>
              <w:t xml:space="preserve"> must:</w:t>
            </w:r>
          </w:p>
          <w:p w14:paraId="20B96D2D" w14:textId="77777777" w:rsidR="00A707E5" w:rsidRPr="00F05BE8" w:rsidRDefault="00A707E5" w:rsidP="004C1FDD">
            <w:pPr>
              <w:numPr>
                <w:ilvl w:val="0"/>
                <w:numId w:val="27"/>
              </w:numPr>
              <w:rPr>
                <w:color w:val="auto"/>
              </w:rPr>
            </w:pPr>
            <w:r w:rsidRPr="00F05BE8">
              <w:rPr>
                <w:color w:val="auto"/>
              </w:rPr>
              <w:t>Conduct a viability assessment of the proposed carer</w:t>
            </w:r>
          </w:p>
          <w:p w14:paraId="049E1910" w14:textId="77777777" w:rsidR="00A707E5" w:rsidRPr="00F05BE8" w:rsidRDefault="00A707E5" w:rsidP="004C1FDD">
            <w:pPr>
              <w:numPr>
                <w:ilvl w:val="0"/>
                <w:numId w:val="27"/>
              </w:numPr>
              <w:rPr>
                <w:color w:val="auto"/>
              </w:rPr>
            </w:pPr>
            <w:r w:rsidRPr="00F05BE8">
              <w:rPr>
                <w:color w:val="auto"/>
              </w:rPr>
              <w:t>Visit the home and assess safety, suitability, and household members</w:t>
            </w:r>
          </w:p>
          <w:p w14:paraId="403439C1" w14:textId="77777777" w:rsidR="00A707E5" w:rsidRPr="00F05BE8" w:rsidRDefault="00A707E5" w:rsidP="004C1FDD">
            <w:pPr>
              <w:numPr>
                <w:ilvl w:val="0"/>
                <w:numId w:val="27"/>
              </w:numPr>
              <w:rPr>
                <w:color w:val="auto"/>
              </w:rPr>
            </w:pPr>
            <w:r w:rsidRPr="00F05BE8">
              <w:rPr>
                <w:color w:val="auto"/>
              </w:rPr>
              <w:lastRenderedPageBreak/>
              <w:t>Check for any criminal history or safeguarding concerns</w:t>
            </w:r>
          </w:p>
          <w:p w14:paraId="6329C805" w14:textId="2E6217B9" w:rsidR="001A37E2" w:rsidRPr="00F05BE8" w:rsidRDefault="001A37E2" w:rsidP="001A37E2">
            <w:pPr>
              <w:numPr>
                <w:ilvl w:val="0"/>
                <w:numId w:val="27"/>
              </w:numPr>
              <w:rPr>
                <w:color w:val="auto"/>
              </w:rPr>
            </w:pPr>
            <w:r w:rsidRPr="00F05BE8">
              <w:rPr>
                <w:color w:val="auto"/>
              </w:rPr>
              <w:t>Assess the relationship strength and existing bond with the child</w:t>
            </w:r>
          </w:p>
          <w:p w14:paraId="2E986AC5" w14:textId="77777777" w:rsidR="00A707E5" w:rsidRPr="00F05BE8" w:rsidRDefault="00A707E5" w:rsidP="004C1FDD">
            <w:pPr>
              <w:numPr>
                <w:ilvl w:val="0"/>
                <w:numId w:val="27"/>
              </w:numPr>
              <w:rPr>
                <w:color w:val="auto"/>
              </w:rPr>
            </w:pPr>
            <w:r w:rsidRPr="00F05BE8">
              <w:rPr>
                <w:color w:val="auto"/>
              </w:rPr>
              <w:t>Consider the child’s wishes and feelings, where appropriate</w:t>
            </w:r>
          </w:p>
          <w:p w14:paraId="3710EA28" w14:textId="69A81109" w:rsidR="00FD0E2B" w:rsidRPr="00F05BE8" w:rsidRDefault="00FD0E2B" w:rsidP="004C1FDD">
            <w:pPr>
              <w:numPr>
                <w:ilvl w:val="0"/>
                <w:numId w:val="27"/>
              </w:numPr>
              <w:rPr>
                <w:color w:val="auto"/>
              </w:rPr>
            </w:pPr>
            <w:r w:rsidRPr="00F05BE8">
              <w:rPr>
                <w:color w:val="auto"/>
                <w:lang w:val="en-GB"/>
              </w:rPr>
              <w:t>Gain the views of parents or those with parental responsibility</w:t>
            </w:r>
          </w:p>
          <w:p w14:paraId="612AB79E" w14:textId="77777777" w:rsidR="004C1FDD" w:rsidRPr="00437758" w:rsidRDefault="004C1FDD" w:rsidP="004C1FDD">
            <w:pPr>
              <w:ind w:left="720"/>
              <w:rPr>
                <w:color w:val="auto"/>
              </w:rPr>
            </w:pPr>
          </w:p>
          <w:p w14:paraId="2844D040" w14:textId="7FFD7A16" w:rsidR="00A707E5" w:rsidRDefault="008B720C" w:rsidP="00A707E5">
            <w:pPr>
              <w:rPr>
                <w:color w:val="auto"/>
              </w:rPr>
            </w:pPr>
            <w:r>
              <w:rPr>
                <w:color w:val="auto"/>
              </w:rPr>
              <w:t>The viability will need to be considered, and a</w:t>
            </w:r>
            <w:r w:rsidR="00A707E5" w:rsidRPr="00437758">
              <w:rPr>
                <w:color w:val="auto"/>
              </w:rPr>
              <w:t xml:space="preserve">pproval granted by </w:t>
            </w:r>
            <w:r w:rsidR="00E030DB">
              <w:rPr>
                <w:color w:val="auto"/>
              </w:rPr>
              <w:t xml:space="preserve">the </w:t>
            </w:r>
            <w:r>
              <w:rPr>
                <w:color w:val="auto"/>
              </w:rPr>
              <w:t xml:space="preserve">Fostering </w:t>
            </w:r>
            <w:r w:rsidR="00E030DB">
              <w:rPr>
                <w:color w:val="auto"/>
              </w:rPr>
              <w:t>Agency Decision Maker</w:t>
            </w:r>
            <w:r>
              <w:rPr>
                <w:color w:val="auto"/>
              </w:rPr>
              <w:t xml:space="preserve"> (ADM)</w:t>
            </w:r>
            <w:r w:rsidR="00A707E5" w:rsidRPr="00A707E5">
              <w:rPr>
                <w:color w:val="auto"/>
              </w:rPr>
              <w:t xml:space="preserve">. </w:t>
            </w:r>
          </w:p>
          <w:p w14:paraId="54AB916D" w14:textId="77777777" w:rsidR="004C1FDD" w:rsidRPr="00A707E5" w:rsidRDefault="004C1FDD" w:rsidP="00A707E5">
            <w:pPr>
              <w:rPr>
                <w:color w:val="auto"/>
              </w:rPr>
            </w:pPr>
          </w:p>
          <w:p w14:paraId="426418C6" w14:textId="77777777" w:rsidR="004C1FDD" w:rsidRPr="00437758" w:rsidRDefault="004C1FDD" w:rsidP="00C76D89">
            <w:pPr>
              <w:pStyle w:val="Heading3"/>
            </w:pPr>
            <w:r w:rsidRPr="00437758">
              <w:t>What Happens Next?</w:t>
            </w:r>
          </w:p>
          <w:p w14:paraId="15173B60" w14:textId="3F4964A3" w:rsidR="004C1FDD" w:rsidRPr="00437758" w:rsidRDefault="004C1FDD" w:rsidP="001027BC">
            <w:pPr>
              <w:spacing w:line="259" w:lineRule="auto"/>
              <w:rPr>
                <w:color w:val="auto"/>
              </w:rPr>
            </w:pPr>
            <w:r w:rsidRPr="00437758">
              <w:rPr>
                <w:color w:val="auto"/>
              </w:rPr>
              <w:t xml:space="preserve">Once </w:t>
            </w:r>
            <w:r w:rsidR="008B720C">
              <w:rPr>
                <w:color w:val="auto"/>
              </w:rPr>
              <w:t>the child has moved</w:t>
            </w:r>
            <w:r w:rsidRPr="00437758">
              <w:rPr>
                <w:color w:val="auto"/>
              </w:rPr>
              <w:t>:</w:t>
            </w:r>
          </w:p>
          <w:p w14:paraId="38E8012D" w14:textId="6871E15B" w:rsidR="009E0892" w:rsidRPr="00F05BE8" w:rsidRDefault="009E0892" w:rsidP="004C1FDD">
            <w:pPr>
              <w:numPr>
                <w:ilvl w:val="0"/>
                <w:numId w:val="28"/>
              </w:numPr>
              <w:rPr>
                <w:color w:val="auto"/>
              </w:rPr>
            </w:pPr>
            <w:r w:rsidRPr="00F05BE8">
              <w:rPr>
                <w:color w:val="auto"/>
                <w:lang w:val="en-GB"/>
              </w:rPr>
              <w:t xml:space="preserve">As the connected person will be temporarily approved as a foster carer, the Connected Person will be required to sign a foster carer agreement. A Connected Person approved under these regulations will be entitled to the same support and services including fees, allocation of </w:t>
            </w:r>
            <w:r w:rsidR="00F22EAA" w:rsidRPr="00F05BE8">
              <w:rPr>
                <w:color w:val="auto"/>
                <w:lang w:val="en-GB"/>
              </w:rPr>
              <w:t xml:space="preserve">supervising </w:t>
            </w:r>
            <w:r w:rsidRPr="00F05BE8">
              <w:rPr>
                <w:color w:val="auto"/>
                <w:lang w:val="en-GB"/>
              </w:rPr>
              <w:t>social worker and allowances as a foster carer.</w:t>
            </w:r>
          </w:p>
          <w:p w14:paraId="33DC410D" w14:textId="6539E41C" w:rsidR="004C1FDD" w:rsidRPr="00F05BE8" w:rsidRDefault="004C1FDD" w:rsidP="004C1FDD">
            <w:pPr>
              <w:numPr>
                <w:ilvl w:val="0"/>
                <w:numId w:val="28"/>
              </w:numPr>
              <w:rPr>
                <w:color w:val="auto"/>
              </w:rPr>
            </w:pPr>
            <w:r w:rsidRPr="00F05BE8">
              <w:rPr>
                <w:color w:val="auto"/>
              </w:rPr>
              <w:t>A full fostering assessment begins immediately</w:t>
            </w:r>
            <w:r w:rsidR="00D17FE2" w:rsidRPr="00F05BE8">
              <w:rPr>
                <w:color w:val="auto"/>
              </w:rPr>
              <w:t>.</w:t>
            </w:r>
          </w:p>
          <w:p w14:paraId="4A2551D8" w14:textId="1A892DA1" w:rsidR="00D17FE2" w:rsidRPr="00F05BE8" w:rsidRDefault="00D17FE2" w:rsidP="004C1FDD">
            <w:pPr>
              <w:numPr>
                <w:ilvl w:val="0"/>
                <w:numId w:val="28"/>
              </w:numPr>
              <w:rPr>
                <w:color w:val="auto"/>
              </w:rPr>
            </w:pPr>
            <w:r w:rsidRPr="00F05BE8">
              <w:rPr>
                <w:color w:val="auto"/>
                <w:lang w:val="en-GB"/>
              </w:rPr>
              <w:t xml:space="preserve">The child's social worker must visit and see the child alone in the </w:t>
            </w:r>
            <w:r w:rsidR="008B720C">
              <w:rPr>
                <w:color w:val="auto"/>
                <w:lang w:val="en-GB"/>
              </w:rPr>
              <w:t>home</w:t>
            </w:r>
            <w:r w:rsidRPr="00F05BE8">
              <w:rPr>
                <w:color w:val="auto"/>
                <w:lang w:val="en-GB"/>
              </w:rPr>
              <w:t xml:space="preserve"> (unless the child refuses) each week until the first Looked After Review and thereafter at intervals of not more than 4 weeks during the period of temporary approval. </w:t>
            </w:r>
          </w:p>
          <w:p w14:paraId="23B851F6" w14:textId="0406C08B" w:rsidR="004C1FDD" w:rsidRPr="00F05BE8" w:rsidRDefault="004C1FDD" w:rsidP="004C1FDD">
            <w:pPr>
              <w:numPr>
                <w:ilvl w:val="0"/>
                <w:numId w:val="28"/>
              </w:numPr>
              <w:rPr>
                <w:color w:val="auto"/>
              </w:rPr>
            </w:pPr>
            <w:r w:rsidRPr="00F05BE8">
              <w:rPr>
                <w:color w:val="auto"/>
              </w:rPr>
              <w:t xml:space="preserve">If approved, </w:t>
            </w:r>
            <w:r w:rsidR="008B720C">
              <w:rPr>
                <w:color w:val="auto"/>
              </w:rPr>
              <w:t xml:space="preserve">via fostering panel and the ADM, </w:t>
            </w:r>
            <w:r w:rsidRPr="00F05BE8">
              <w:rPr>
                <w:color w:val="auto"/>
              </w:rPr>
              <w:t xml:space="preserve">the carer becomes a fully </w:t>
            </w:r>
            <w:r w:rsidR="008B720C" w:rsidRPr="00F05BE8">
              <w:rPr>
                <w:color w:val="auto"/>
              </w:rPr>
              <w:t>registered</w:t>
            </w:r>
            <w:r w:rsidR="008B720C">
              <w:rPr>
                <w:color w:val="auto"/>
              </w:rPr>
              <w:t xml:space="preserve"> </w:t>
            </w:r>
            <w:r w:rsidRPr="00F05BE8">
              <w:rPr>
                <w:color w:val="auto"/>
              </w:rPr>
              <w:t>foster carer</w:t>
            </w:r>
            <w:r w:rsidR="007B58C1" w:rsidRPr="00F05BE8">
              <w:rPr>
                <w:color w:val="auto"/>
              </w:rPr>
              <w:t>.</w:t>
            </w:r>
          </w:p>
          <w:p w14:paraId="3997B8A7" w14:textId="0C1AA104" w:rsidR="00267EC0" w:rsidRDefault="004C1FDD" w:rsidP="00267EC0">
            <w:pPr>
              <w:numPr>
                <w:ilvl w:val="0"/>
                <w:numId w:val="28"/>
              </w:numPr>
              <w:rPr>
                <w:color w:val="auto"/>
              </w:rPr>
            </w:pPr>
            <w:r w:rsidRPr="00F05BE8">
              <w:rPr>
                <w:color w:val="auto"/>
              </w:rPr>
              <w:t>If approv</w:t>
            </w:r>
            <w:r w:rsidR="008B720C">
              <w:rPr>
                <w:color w:val="auto"/>
              </w:rPr>
              <w:t>al is not given</w:t>
            </w:r>
            <w:r w:rsidRPr="00F05BE8">
              <w:rPr>
                <w:color w:val="auto"/>
              </w:rPr>
              <w:t xml:space="preserve">, the child may need to be moved to an alternative </w:t>
            </w:r>
            <w:r w:rsidR="008B720C">
              <w:rPr>
                <w:color w:val="auto"/>
              </w:rPr>
              <w:t>home or alternative arrangements made</w:t>
            </w:r>
            <w:r w:rsidR="007B58C1" w:rsidRPr="00F05BE8">
              <w:rPr>
                <w:color w:val="auto"/>
              </w:rPr>
              <w:t>.</w:t>
            </w:r>
          </w:p>
          <w:p w14:paraId="5C956538" w14:textId="77777777" w:rsidR="001027BC" w:rsidRDefault="001027BC" w:rsidP="001027BC">
            <w:pPr>
              <w:rPr>
                <w:color w:val="auto"/>
              </w:rPr>
            </w:pPr>
          </w:p>
          <w:p w14:paraId="292CD0B5" w14:textId="77777777" w:rsidR="001027BC" w:rsidRDefault="001027BC" w:rsidP="001027BC">
            <w:pPr>
              <w:rPr>
                <w:color w:val="auto"/>
              </w:rPr>
            </w:pPr>
          </w:p>
          <w:p w14:paraId="7232C05B" w14:textId="3D05F8F6" w:rsidR="001027BC" w:rsidRPr="001D545E" w:rsidRDefault="001027BC" w:rsidP="00C76D89">
            <w:pPr>
              <w:pStyle w:val="Heading3"/>
            </w:pPr>
            <w:r w:rsidRPr="001D545E">
              <w:t>Full Kinship Assessment (Form K)</w:t>
            </w:r>
          </w:p>
          <w:p w14:paraId="63622BE5" w14:textId="2B8F0ECC" w:rsidR="00E030DB" w:rsidRDefault="001027BC" w:rsidP="001027BC">
            <w:pPr>
              <w:rPr>
                <w:color w:val="auto"/>
              </w:rPr>
            </w:pPr>
            <w:r w:rsidRPr="001D545E">
              <w:rPr>
                <w:color w:val="auto"/>
              </w:rPr>
              <w:t xml:space="preserve">A supervising social worker from the Kinship Assessment Team </w:t>
            </w:r>
            <w:r w:rsidR="00E030DB">
              <w:rPr>
                <w:color w:val="auto"/>
                <w:lang w:val="en-GB"/>
              </w:rPr>
              <w:t xml:space="preserve">will explain the </w:t>
            </w:r>
            <w:r w:rsidR="00E030DB" w:rsidRPr="00E030DB">
              <w:rPr>
                <w:color w:val="auto"/>
                <w:lang w:val="en-GB"/>
              </w:rPr>
              <w:t xml:space="preserve">assessment process, including the need for Disclosure and Barring Service checks and other agency enquiries on all members of the household </w:t>
            </w:r>
            <w:r w:rsidR="008B720C">
              <w:rPr>
                <w:color w:val="auto"/>
                <w:lang w:val="en-GB"/>
              </w:rPr>
              <w:t xml:space="preserve">over </w:t>
            </w:r>
            <w:r w:rsidR="00E030DB" w:rsidRPr="00E030DB">
              <w:rPr>
                <w:color w:val="auto"/>
                <w:lang w:val="en-GB"/>
              </w:rPr>
              <w:t>18,</w:t>
            </w:r>
            <w:r w:rsidR="00E030DB">
              <w:rPr>
                <w:color w:val="auto"/>
                <w:lang w:val="en-GB"/>
              </w:rPr>
              <w:t xml:space="preserve"> full medical reports of the temporary approved connected carers</w:t>
            </w:r>
            <w:r w:rsidR="00E030DB" w:rsidRPr="00E030DB">
              <w:rPr>
                <w:color w:val="auto"/>
                <w:lang w:val="en-GB"/>
              </w:rPr>
              <w:t xml:space="preserve"> as well as interviews with referees, adult children and ex-partners</w:t>
            </w:r>
            <w:r w:rsidR="00E030DB">
              <w:rPr>
                <w:color w:val="auto"/>
                <w:lang w:val="en-GB"/>
              </w:rPr>
              <w:t>.</w:t>
            </w:r>
          </w:p>
          <w:p w14:paraId="32A9F418" w14:textId="2974003B" w:rsidR="001027BC" w:rsidRPr="001D545E" w:rsidRDefault="001027BC" w:rsidP="001027BC">
            <w:pPr>
              <w:rPr>
                <w:color w:val="auto"/>
              </w:rPr>
            </w:pPr>
          </w:p>
          <w:p w14:paraId="584E1657" w14:textId="464A3925" w:rsidR="001027BC" w:rsidRPr="001D545E" w:rsidRDefault="001027BC" w:rsidP="001027BC">
            <w:pPr>
              <w:rPr>
                <w:color w:val="auto"/>
              </w:rPr>
            </w:pPr>
            <w:r w:rsidRPr="001D545E">
              <w:rPr>
                <w:color w:val="auto"/>
              </w:rPr>
              <w:t xml:space="preserve">The assessment (Form K) </w:t>
            </w:r>
            <w:r w:rsidRPr="001D545E">
              <w:rPr>
                <w:color w:val="auto"/>
                <w:lang w:val="en-GB"/>
              </w:rPr>
              <w:t>also includes a support plan to ensure that all those involved in the c</w:t>
            </w:r>
            <w:r w:rsidR="00A47630" w:rsidRPr="001D545E">
              <w:rPr>
                <w:color w:val="auto"/>
                <w:lang w:val="en-GB"/>
              </w:rPr>
              <w:t>onnected carers</w:t>
            </w:r>
            <w:r w:rsidRPr="001D545E">
              <w:rPr>
                <w:color w:val="auto"/>
                <w:lang w:val="en-GB"/>
              </w:rPr>
              <w:t xml:space="preserve"> assessment make provision for what support the kinship family will need now and possibly in the future.</w:t>
            </w:r>
          </w:p>
          <w:p w14:paraId="3FD84202" w14:textId="77777777" w:rsidR="001027BC" w:rsidRPr="001D545E" w:rsidRDefault="001027BC" w:rsidP="001027BC">
            <w:pPr>
              <w:rPr>
                <w:color w:val="auto"/>
              </w:rPr>
            </w:pPr>
          </w:p>
          <w:p w14:paraId="1896165C" w14:textId="2400107E" w:rsidR="00267EC0" w:rsidRPr="001027BC" w:rsidRDefault="001027BC" w:rsidP="00267EC0">
            <w:pPr>
              <w:rPr>
                <w:bCs/>
                <w:color w:val="auto"/>
                <w:lang w:val="en-GB"/>
              </w:rPr>
            </w:pPr>
            <w:r w:rsidRPr="001D545E">
              <w:rPr>
                <w:bCs/>
                <w:color w:val="auto"/>
                <w:lang w:val="en-GB"/>
              </w:rPr>
              <w:t>When the assessment is completed, this will be considered by GCC fostering panel</w:t>
            </w:r>
            <w:r w:rsidR="00817A17">
              <w:rPr>
                <w:bCs/>
                <w:color w:val="auto"/>
                <w:lang w:val="en-GB"/>
              </w:rPr>
              <w:t xml:space="preserve"> (within 16 weeks, dependent on </w:t>
            </w:r>
            <w:r w:rsidR="00E030DB">
              <w:rPr>
                <w:bCs/>
                <w:color w:val="auto"/>
                <w:lang w:val="en-GB"/>
              </w:rPr>
              <w:t xml:space="preserve">return of </w:t>
            </w:r>
            <w:r w:rsidR="00817A17">
              <w:rPr>
                <w:bCs/>
                <w:color w:val="auto"/>
                <w:lang w:val="en-GB"/>
              </w:rPr>
              <w:t>checks)</w:t>
            </w:r>
            <w:r w:rsidRPr="001D545E">
              <w:rPr>
                <w:bCs/>
                <w:color w:val="auto"/>
                <w:lang w:val="en-GB"/>
              </w:rPr>
              <w:t xml:space="preserve"> which can recommend approval as a kinship foster carer. A senior manager in the local authority, the </w:t>
            </w:r>
            <w:r w:rsidR="00E030DB">
              <w:rPr>
                <w:bCs/>
                <w:color w:val="auto"/>
                <w:lang w:val="en-GB"/>
              </w:rPr>
              <w:t>Agency Decision Maker</w:t>
            </w:r>
            <w:r w:rsidRPr="001D545E">
              <w:rPr>
                <w:bCs/>
                <w:color w:val="auto"/>
                <w:lang w:val="en-GB"/>
              </w:rPr>
              <w:t xml:space="preserve"> will then </w:t>
            </w:r>
            <w:proofErr w:type="gramStart"/>
            <w:r w:rsidR="00275F57">
              <w:rPr>
                <w:bCs/>
                <w:color w:val="auto"/>
                <w:lang w:val="en-GB"/>
              </w:rPr>
              <w:t>make a decision</w:t>
            </w:r>
            <w:proofErr w:type="gramEnd"/>
            <w:r w:rsidR="00275F57">
              <w:rPr>
                <w:bCs/>
                <w:color w:val="auto"/>
                <w:lang w:val="en-GB"/>
              </w:rPr>
              <w:t xml:space="preserve"> considering the </w:t>
            </w:r>
            <w:r w:rsidRPr="001D545E">
              <w:rPr>
                <w:bCs/>
                <w:color w:val="auto"/>
                <w:lang w:val="en-GB"/>
              </w:rPr>
              <w:t>fostering panel’s recommendation.</w:t>
            </w:r>
          </w:p>
          <w:p w14:paraId="6CF5BDEB" w14:textId="77777777" w:rsidR="00043AFE" w:rsidRDefault="00043AFE" w:rsidP="005447F3">
            <w:pPr>
              <w:rPr>
                <w:color w:val="auto"/>
              </w:rPr>
            </w:pPr>
          </w:p>
          <w:p w14:paraId="4925C344" w14:textId="77777777" w:rsidR="00C76D89" w:rsidRDefault="00C76D89" w:rsidP="005447F3">
            <w:pPr>
              <w:rPr>
                <w:color w:val="auto"/>
              </w:rPr>
            </w:pPr>
          </w:p>
          <w:p w14:paraId="29F2AAAC" w14:textId="77777777" w:rsidR="00C76D89" w:rsidRDefault="00C76D89" w:rsidP="005447F3">
            <w:pPr>
              <w:rPr>
                <w:color w:val="auto"/>
              </w:rPr>
            </w:pPr>
          </w:p>
          <w:p w14:paraId="58CFCECA" w14:textId="746A1BA7" w:rsidR="005447F3" w:rsidRDefault="005447F3" w:rsidP="00C76D89">
            <w:pPr>
              <w:pStyle w:val="Heading3"/>
            </w:pPr>
            <w:r w:rsidRPr="005447F3">
              <w:lastRenderedPageBreak/>
              <w:t>Extending Approval</w:t>
            </w:r>
          </w:p>
          <w:p w14:paraId="4940B431" w14:textId="77777777" w:rsidR="005447F3" w:rsidRPr="005447F3" w:rsidRDefault="005447F3" w:rsidP="005447F3">
            <w:pPr>
              <w:rPr>
                <w:color w:val="0070C0"/>
                <w:u w:val="single"/>
              </w:rPr>
            </w:pPr>
          </w:p>
          <w:p w14:paraId="13ADF4B4" w14:textId="2625B8E8" w:rsidR="005447F3" w:rsidRDefault="005447F3" w:rsidP="005447F3">
            <w:pPr>
              <w:rPr>
                <w:color w:val="auto"/>
                <w:lang w:val="en-GB"/>
              </w:rPr>
            </w:pPr>
            <w:r w:rsidRPr="005447F3">
              <w:rPr>
                <w:color w:val="auto"/>
                <w:lang w:val="en-GB"/>
              </w:rPr>
              <w:t>Th</w:t>
            </w:r>
            <w:r w:rsidR="00275F57">
              <w:rPr>
                <w:color w:val="auto"/>
                <w:lang w:val="en-GB"/>
              </w:rPr>
              <w:t>e</w:t>
            </w:r>
            <w:r w:rsidRPr="005447F3">
              <w:rPr>
                <w:color w:val="auto"/>
                <w:lang w:val="en-GB"/>
              </w:rPr>
              <w:t xml:space="preserve"> temporary approval can be extended for a further period of up to 8 weeks (if it is likely to expire before the assessment is completed) or until the outcome of the Independent Review (if the outcome of the assessment is that the Connected Person is not approved and seeks a review of the decision</w:t>
            </w:r>
            <w:r w:rsidR="00B85AE4">
              <w:rPr>
                <w:color w:val="auto"/>
                <w:lang w:val="en-GB"/>
              </w:rPr>
              <w:t>)</w:t>
            </w:r>
            <w:r w:rsidR="00E418D7">
              <w:rPr>
                <w:color w:val="auto"/>
                <w:lang w:val="en-GB"/>
              </w:rPr>
              <w:t>.</w:t>
            </w:r>
          </w:p>
          <w:p w14:paraId="4E699D74" w14:textId="77777777" w:rsidR="00E418D7" w:rsidRPr="005447F3" w:rsidRDefault="00E418D7" w:rsidP="005447F3">
            <w:pPr>
              <w:rPr>
                <w:color w:val="auto"/>
                <w:lang w:val="en-GB"/>
              </w:rPr>
            </w:pPr>
          </w:p>
          <w:p w14:paraId="0A62DE80" w14:textId="4FA9952B" w:rsidR="00281CEE" w:rsidRDefault="005447F3" w:rsidP="00817A17">
            <w:pPr>
              <w:rPr>
                <w:color w:val="auto"/>
                <w:lang w:val="en-GB"/>
              </w:rPr>
            </w:pPr>
            <w:r w:rsidRPr="005447F3">
              <w:rPr>
                <w:color w:val="auto"/>
                <w:lang w:val="en-GB"/>
              </w:rPr>
              <w:t xml:space="preserve">Before deciding whether to extend the approval, the Local Authority must consider if the </w:t>
            </w:r>
            <w:r w:rsidR="00275F57">
              <w:rPr>
                <w:color w:val="auto"/>
                <w:lang w:val="en-GB"/>
              </w:rPr>
              <w:t>arrangemen</w:t>
            </w:r>
            <w:r w:rsidRPr="005447F3">
              <w:rPr>
                <w:color w:val="auto"/>
                <w:lang w:val="en-GB"/>
              </w:rPr>
              <w:t xml:space="preserve">t is still the most appropriate </w:t>
            </w:r>
            <w:r w:rsidR="00275F57">
              <w:rPr>
                <w:color w:val="auto"/>
                <w:lang w:val="en-GB"/>
              </w:rPr>
              <w:t xml:space="preserve">option </w:t>
            </w:r>
            <w:r w:rsidRPr="005447F3">
              <w:rPr>
                <w:color w:val="auto"/>
                <w:lang w:val="en-GB"/>
              </w:rPr>
              <w:t xml:space="preserve">available, </w:t>
            </w:r>
            <w:r w:rsidR="00275F57" w:rsidRPr="00275F57">
              <w:rPr>
                <w:color w:val="auto"/>
                <w:lang w:val="en-GB"/>
              </w:rPr>
              <w:t xml:space="preserve">the IRO must also be </w:t>
            </w:r>
            <w:proofErr w:type="gramStart"/>
            <w:r w:rsidR="00275F57" w:rsidRPr="00275F57">
              <w:rPr>
                <w:color w:val="auto"/>
                <w:lang w:val="en-GB"/>
              </w:rPr>
              <w:t>informed</w:t>
            </w:r>
            <w:proofErr w:type="gramEnd"/>
            <w:r w:rsidR="00275F57" w:rsidRPr="00275F57">
              <w:rPr>
                <w:color w:val="auto"/>
                <w:lang w:val="en-GB"/>
              </w:rPr>
              <w:t xml:space="preserve"> </w:t>
            </w:r>
            <w:r w:rsidRPr="005447F3">
              <w:rPr>
                <w:color w:val="auto"/>
                <w:lang w:val="en-GB"/>
              </w:rPr>
              <w:t>and it must be considered by the Fostering Panel before the approval is given</w:t>
            </w:r>
            <w:r w:rsidR="00275F57">
              <w:rPr>
                <w:color w:val="auto"/>
                <w:lang w:val="en-GB"/>
              </w:rPr>
              <w:t xml:space="preserve"> by the ADM</w:t>
            </w:r>
            <w:r w:rsidRPr="005447F3">
              <w:rPr>
                <w:color w:val="auto"/>
                <w:lang w:val="en-GB"/>
              </w:rPr>
              <w:t xml:space="preserve">. </w:t>
            </w:r>
          </w:p>
          <w:p w14:paraId="792715D8" w14:textId="77777777" w:rsidR="00817A17" w:rsidRDefault="00817A17" w:rsidP="00817A17">
            <w:pPr>
              <w:rPr>
                <w:color w:val="auto"/>
                <w:lang w:val="en-GB"/>
              </w:rPr>
            </w:pPr>
          </w:p>
          <w:p w14:paraId="5F07D837" w14:textId="77777777" w:rsidR="009E4E28" w:rsidRDefault="009E4E28" w:rsidP="009E4E28">
            <w:pPr>
              <w:autoSpaceDE w:val="0"/>
              <w:autoSpaceDN w:val="0"/>
              <w:adjustRightInd w:val="0"/>
              <w:rPr>
                <w:rFonts w:eastAsiaTheme="minorHAnsi" w:cstheme="minorHAnsi"/>
                <w:b/>
                <w:bCs/>
                <w14:ligatures w14:val="standardContextual"/>
              </w:rPr>
            </w:pPr>
          </w:p>
          <w:p w14:paraId="4AFEB0CA" w14:textId="77777777" w:rsidR="006D757B" w:rsidRPr="002A2241" w:rsidRDefault="006D757B" w:rsidP="006D757B">
            <w:pPr>
              <w:rPr>
                <w:b/>
                <w:bCs/>
              </w:rPr>
            </w:pPr>
            <w:r w:rsidRPr="002A2241">
              <w:rPr>
                <w:b/>
                <w:bCs/>
              </w:rPr>
              <w:t>Document Control</w:t>
            </w:r>
          </w:p>
          <w:p w14:paraId="27D1040F" w14:textId="77777777" w:rsidR="006D757B" w:rsidRPr="002A2241" w:rsidRDefault="006D757B" w:rsidP="006D757B">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6D757B" w14:paraId="3DB76180" w14:textId="77777777" w:rsidTr="005D30B4">
              <w:tc>
                <w:tcPr>
                  <w:tcW w:w="4508" w:type="dxa"/>
                </w:tcPr>
                <w:p w14:paraId="189582A7" w14:textId="77777777" w:rsidR="006D757B" w:rsidRPr="002A2241" w:rsidRDefault="006D757B" w:rsidP="006D757B">
                  <w:pPr>
                    <w:rPr>
                      <w:b/>
                      <w:bCs/>
                    </w:rPr>
                  </w:pPr>
                  <w:r w:rsidRPr="002A2241">
                    <w:rPr>
                      <w:b/>
                      <w:bCs/>
                    </w:rPr>
                    <w:t>Owner:</w:t>
                  </w:r>
                </w:p>
              </w:tc>
              <w:tc>
                <w:tcPr>
                  <w:tcW w:w="4508" w:type="dxa"/>
                </w:tcPr>
                <w:p w14:paraId="3AC1F3EB" w14:textId="6E9ACCD7" w:rsidR="006D757B" w:rsidRDefault="006D757B" w:rsidP="006D757B">
                  <w:r>
                    <w:t>HOS CIC</w:t>
                  </w:r>
                </w:p>
              </w:tc>
            </w:tr>
            <w:tr w:rsidR="006D757B" w14:paraId="1D24FDCD" w14:textId="77777777" w:rsidTr="005D30B4">
              <w:tc>
                <w:tcPr>
                  <w:tcW w:w="4508" w:type="dxa"/>
                </w:tcPr>
                <w:p w14:paraId="3F245141" w14:textId="77777777" w:rsidR="006D757B" w:rsidRPr="002A2241" w:rsidRDefault="006D757B" w:rsidP="006D757B">
                  <w:pPr>
                    <w:rPr>
                      <w:b/>
                      <w:bCs/>
                    </w:rPr>
                  </w:pPr>
                  <w:r w:rsidRPr="002A2241">
                    <w:rPr>
                      <w:b/>
                      <w:bCs/>
                    </w:rPr>
                    <w:t>Author:</w:t>
                  </w:r>
                </w:p>
              </w:tc>
              <w:tc>
                <w:tcPr>
                  <w:tcW w:w="4508" w:type="dxa"/>
                </w:tcPr>
                <w:p w14:paraId="6F4DF7B6" w14:textId="646AB89B" w:rsidR="006D757B" w:rsidRDefault="00743A02" w:rsidP="006D757B">
                  <w:r>
                    <w:t>Tammy Wheatley</w:t>
                  </w:r>
                </w:p>
              </w:tc>
            </w:tr>
            <w:tr w:rsidR="006D757B" w14:paraId="248198AC" w14:textId="77777777" w:rsidTr="005D30B4">
              <w:tc>
                <w:tcPr>
                  <w:tcW w:w="4508" w:type="dxa"/>
                </w:tcPr>
                <w:p w14:paraId="2F295E8A" w14:textId="77777777" w:rsidR="006D757B" w:rsidRPr="002A2241" w:rsidRDefault="006D757B" w:rsidP="006D757B">
                  <w:pPr>
                    <w:rPr>
                      <w:b/>
                      <w:bCs/>
                    </w:rPr>
                  </w:pPr>
                  <w:r w:rsidRPr="002A2241">
                    <w:rPr>
                      <w:b/>
                      <w:bCs/>
                    </w:rPr>
                    <w:t>Last Reviewer:</w:t>
                  </w:r>
                </w:p>
              </w:tc>
              <w:tc>
                <w:tcPr>
                  <w:tcW w:w="4508" w:type="dxa"/>
                </w:tcPr>
                <w:p w14:paraId="611CAF65" w14:textId="77777777" w:rsidR="006D757B" w:rsidRDefault="006D757B" w:rsidP="006D757B">
                  <w:r>
                    <w:t>Policy Governance Group</w:t>
                  </w:r>
                </w:p>
              </w:tc>
            </w:tr>
            <w:tr w:rsidR="006D757B" w14:paraId="044D81FF" w14:textId="77777777" w:rsidTr="005D30B4">
              <w:tc>
                <w:tcPr>
                  <w:tcW w:w="4508" w:type="dxa"/>
                </w:tcPr>
                <w:p w14:paraId="1ACAD64E" w14:textId="77777777" w:rsidR="006D757B" w:rsidRPr="002A2241" w:rsidRDefault="006D757B" w:rsidP="006D757B">
                  <w:pPr>
                    <w:rPr>
                      <w:b/>
                      <w:bCs/>
                    </w:rPr>
                  </w:pPr>
                  <w:r w:rsidRPr="002A2241">
                    <w:rPr>
                      <w:b/>
                      <w:bCs/>
                    </w:rPr>
                    <w:t>Date Created:</w:t>
                  </w:r>
                </w:p>
              </w:tc>
              <w:tc>
                <w:tcPr>
                  <w:tcW w:w="4508" w:type="dxa"/>
                </w:tcPr>
                <w:p w14:paraId="728C1D50" w14:textId="1D0C8C8A" w:rsidR="006D757B" w:rsidRDefault="00C76D89" w:rsidP="006D757B">
                  <w:r>
                    <w:t>21/07/2025</w:t>
                  </w:r>
                </w:p>
              </w:tc>
            </w:tr>
            <w:tr w:rsidR="006D757B" w14:paraId="7730F326" w14:textId="77777777" w:rsidTr="005D30B4">
              <w:tc>
                <w:tcPr>
                  <w:tcW w:w="4508" w:type="dxa"/>
                </w:tcPr>
                <w:p w14:paraId="2C80D7E6" w14:textId="77777777" w:rsidR="006D757B" w:rsidRPr="002A2241" w:rsidRDefault="006D757B" w:rsidP="006D757B">
                  <w:pPr>
                    <w:rPr>
                      <w:b/>
                      <w:bCs/>
                    </w:rPr>
                  </w:pPr>
                  <w:r w:rsidRPr="002A2241">
                    <w:rPr>
                      <w:b/>
                      <w:bCs/>
                    </w:rPr>
                    <w:t>Next Review Date:</w:t>
                  </w:r>
                </w:p>
              </w:tc>
              <w:tc>
                <w:tcPr>
                  <w:tcW w:w="4508" w:type="dxa"/>
                </w:tcPr>
                <w:p w14:paraId="65E7583C" w14:textId="553B9A98" w:rsidR="006D757B" w:rsidRDefault="00C76D89" w:rsidP="006D757B">
                  <w:r>
                    <w:t>21/07/2026</w:t>
                  </w:r>
                </w:p>
              </w:tc>
            </w:tr>
            <w:tr w:rsidR="006D757B" w14:paraId="2EFE21E5" w14:textId="77777777" w:rsidTr="005D30B4">
              <w:tc>
                <w:tcPr>
                  <w:tcW w:w="4508" w:type="dxa"/>
                </w:tcPr>
                <w:p w14:paraId="2BECF496" w14:textId="77777777" w:rsidR="006D757B" w:rsidRPr="002A2241" w:rsidRDefault="006D757B" w:rsidP="006D757B">
                  <w:pPr>
                    <w:rPr>
                      <w:b/>
                      <w:bCs/>
                    </w:rPr>
                  </w:pPr>
                  <w:r w:rsidRPr="002A2241">
                    <w:rPr>
                      <w:b/>
                      <w:bCs/>
                    </w:rPr>
                    <w:t>Approval:</w:t>
                  </w:r>
                </w:p>
              </w:tc>
              <w:tc>
                <w:tcPr>
                  <w:tcW w:w="4508" w:type="dxa"/>
                </w:tcPr>
                <w:p w14:paraId="3C6FFB07" w14:textId="1F73DA50" w:rsidR="006D757B" w:rsidRDefault="006D757B" w:rsidP="006D757B">
                  <w:r>
                    <w:t xml:space="preserve">Policy Governance Group </w:t>
                  </w:r>
                  <w:r w:rsidR="00C76D89">
                    <w:t>July 2025</w:t>
                  </w:r>
                </w:p>
              </w:tc>
            </w:tr>
            <w:tr w:rsidR="006D757B" w14:paraId="20668861" w14:textId="77777777" w:rsidTr="005D30B4">
              <w:tc>
                <w:tcPr>
                  <w:tcW w:w="4508" w:type="dxa"/>
                </w:tcPr>
                <w:p w14:paraId="66672CAD" w14:textId="77777777" w:rsidR="006D757B" w:rsidRPr="002A2241" w:rsidRDefault="006D757B" w:rsidP="006D757B">
                  <w:pPr>
                    <w:rPr>
                      <w:b/>
                      <w:bCs/>
                    </w:rPr>
                  </w:pPr>
                  <w:r w:rsidRPr="002A2241">
                    <w:rPr>
                      <w:b/>
                      <w:bCs/>
                    </w:rPr>
                    <w:t>Version:</w:t>
                  </w:r>
                </w:p>
              </w:tc>
              <w:tc>
                <w:tcPr>
                  <w:tcW w:w="4508" w:type="dxa"/>
                </w:tcPr>
                <w:p w14:paraId="1F29C490" w14:textId="611EA7AC" w:rsidR="006D757B" w:rsidRDefault="006D757B" w:rsidP="006D757B">
                  <w:r>
                    <w:t>1-</w:t>
                  </w:r>
                  <w:r>
                    <w:t>1</w:t>
                  </w:r>
                </w:p>
              </w:tc>
            </w:tr>
          </w:tbl>
          <w:p w14:paraId="188AB055" w14:textId="77777777" w:rsidR="006D757B" w:rsidRDefault="006D757B" w:rsidP="006D757B"/>
          <w:tbl>
            <w:tblPr>
              <w:tblStyle w:val="TableGrid"/>
              <w:tblW w:w="0" w:type="auto"/>
              <w:tblLook w:val="04A0" w:firstRow="1" w:lastRow="0" w:firstColumn="1" w:lastColumn="0" w:noHBand="0" w:noVBand="1"/>
            </w:tblPr>
            <w:tblGrid>
              <w:gridCol w:w="3006"/>
              <w:gridCol w:w="1951"/>
              <w:gridCol w:w="4059"/>
            </w:tblGrid>
            <w:tr w:rsidR="006D757B" w14:paraId="0F8CCF4C" w14:textId="77777777" w:rsidTr="005D30B4">
              <w:tc>
                <w:tcPr>
                  <w:tcW w:w="3006" w:type="dxa"/>
                </w:tcPr>
                <w:p w14:paraId="1B9B5E1C" w14:textId="77777777" w:rsidR="006D757B" w:rsidRPr="002A2241" w:rsidRDefault="006D757B" w:rsidP="006D757B">
                  <w:pPr>
                    <w:rPr>
                      <w:b/>
                      <w:bCs/>
                    </w:rPr>
                  </w:pPr>
                  <w:r w:rsidRPr="002A2241">
                    <w:rPr>
                      <w:b/>
                      <w:bCs/>
                    </w:rPr>
                    <w:t>Version</w:t>
                  </w:r>
                </w:p>
              </w:tc>
              <w:tc>
                <w:tcPr>
                  <w:tcW w:w="1951" w:type="dxa"/>
                </w:tcPr>
                <w:p w14:paraId="3276189D" w14:textId="77777777" w:rsidR="006D757B" w:rsidRPr="002A2241" w:rsidRDefault="006D757B" w:rsidP="006D757B">
                  <w:pPr>
                    <w:rPr>
                      <w:b/>
                      <w:bCs/>
                    </w:rPr>
                  </w:pPr>
                  <w:r w:rsidRPr="002A2241">
                    <w:rPr>
                      <w:b/>
                      <w:bCs/>
                    </w:rPr>
                    <w:t>Version Date</w:t>
                  </w:r>
                </w:p>
              </w:tc>
              <w:tc>
                <w:tcPr>
                  <w:tcW w:w="4059" w:type="dxa"/>
                </w:tcPr>
                <w:p w14:paraId="779AFA9A" w14:textId="77777777" w:rsidR="006D757B" w:rsidRPr="002A2241" w:rsidRDefault="006D757B" w:rsidP="006D757B">
                  <w:pPr>
                    <w:rPr>
                      <w:b/>
                      <w:bCs/>
                    </w:rPr>
                  </w:pPr>
                  <w:r w:rsidRPr="002A2241">
                    <w:rPr>
                      <w:b/>
                      <w:bCs/>
                    </w:rPr>
                    <w:t>Summary of Changes</w:t>
                  </w:r>
                </w:p>
              </w:tc>
            </w:tr>
            <w:tr w:rsidR="006D757B" w14:paraId="0BAD8696" w14:textId="77777777" w:rsidTr="005D30B4">
              <w:tc>
                <w:tcPr>
                  <w:tcW w:w="3006" w:type="dxa"/>
                </w:tcPr>
                <w:p w14:paraId="27F95913" w14:textId="77777777" w:rsidR="006D757B" w:rsidRDefault="006D757B" w:rsidP="006D757B">
                  <w:r>
                    <w:t>1 - 1</w:t>
                  </w:r>
                </w:p>
              </w:tc>
              <w:tc>
                <w:tcPr>
                  <w:tcW w:w="1951" w:type="dxa"/>
                </w:tcPr>
                <w:p w14:paraId="23DAE5CD" w14:textId="3A8AFFE9" w:rsidR="006D757B" w:rsidRDefault="006D757B" w:rsidP="006D757B">
                  <w:r>
                    <w:t>July</w:t>
                  </w:r>
                  <w:r w:rsidR="00C76D89">
                    <w:t xml:space="preserve"> </w:t>
                  </w:r>
                  <w:r>
                    <w:t>2025</w:t>
                  </w:r>
                </w:p>
              </w:tc>
              <w:tc>
                <w:tcPr>
                  <w:tcW w:w="4059" w:type="dxa"/>
                </w:tcPr>
                <w:p w14:paraId="1FAEB048" w14:textId="130EBF78" w:rsidR="006D757B" w:rsidRDefault="006D757B" w:rsidP="006D757B">
                  <w:r>
                    <w:t>New Document</w:t>
                  </w:r>
                </w:p>
              </w:tc>
            </w:tr>
            <w:tr w:rsidR="006D757B" w14:paraId="447F23E8" w14:textId="77777777" w:rsidTr="005D30B4">
              <w:tc>
                <w:tcPr>
                  <w:tcW w:w="3006" w:type="dxa"/>
                </w:tcPr>
                <w:p w14:paraId="1B10E676" w14:textId="3DE3615C" w:rsidR="006D757B" w:rsidRDefault="006D757B" w:rsidP="006D757B"/>
              </w:tc>
              <w:tc>
                <w:tcPr>
                  <w:tcW w:w="1951" w:type="dxa"/>
                </w:tcPr>
                <w:p w14:paraId="7265F8A8" w14:textId="017D4597" w:rsidR="006D757B" w:rsidRDefault="006D757B" w:rsidP="006D757B"/>
              </w:tc>
              <w:tc>
                <w:tcPr>
                  <w:tcW w:w="4059" w:type="dxa"/>
                </w:tcPr>
                <w:p w14:paraId="4D014349" w14:textId="67A6B511" w:rsidR="006D757B" w:rsidRDefault="006D757B" w:rsidP="006D757B"/>
              </w:tc>
            </w:tr>
            <w:tr w:rsidR="006D757B" w14:paraId="0D67295B" w14:textId="77777777" w:rsidTr="005D30B4">
              <w:tc>
                <w:tcPr>
                  <w:tcW w:w="3006" w:type="dxa"/>
                </w:tcPr>
                <w:p w14:paraId="5C9153B2" w14:textId="06C2CFBB" w:rsidR="006D757B" w:rsidRDefault="006D757B" w:rsidP="006D757B"/>
              </w:tc>
              <w:tc>
                <w:tcPr>
                  <w:tcW w:w="1951" w:type="dxa"/>
                </w:tcPr>
                <w:p w14:paraId="4E44BA64" w14:textId="3E05FCDF" w:rsidR="006D757B" w:rsidRDefault="006D757B" w:rsidP="006D757B"/>
              </w:tc>
              <w:tc>
                <w:tcPr>
                  <w:tcW w:w="4059" w:type="dxa"/>
                </w:tcPr>
                <w:p w14:paraId="3DAF694B" w14:textId="571AE668" w:rsidR="006D757B" w:rsidRDefault="006D757B" w:rsidP="006D757B"/>
              </w:tc>
            </w:tr>
            <w:tr w:rsidR="006D757B" w14:paraId="3F76E469" w14:textId="77777777" w:rsidTr="005D30B4">
              <w:tc>
                <w:tcPr>
                  <w:tcW w:w="3006" w:type="dxa"/>
                </w:tcPr>
                <w:p w14:paraId="49AA49FF" w14:textId="77777777" w:rsidR="006D757B" w:rsidRDefault="006D757B" w:rsidP="006D757B"/>
              </w:tc>
              <w:tc>
                <w:tcPr>
                  <w:tcW w:w="1951" w:type="dxa"/>
                </w:tcPr>
                <w:p w14:paraId="24E58F7C" w14:textId="77777777" w:rsidR="006D757B" w:rsidRDefault="006D757B" w:rsidP="006D757B"/>
              </w:tc>
              <w:tc>
                <w:tcPr>
                  <w:tcW w:w="4059" w:type="dxa"/>
                </w:tcPr>
                <w:p w14:paraId="15BE4557" w14:textId="77777777" w:rsidR="006D757B" w:rsidRDefault="006D757B" w:rsidP="006D757B"/>
              </w:tc>
            </w:tr>
          </w:tbl>
          <w:p w14:paraId="4F2566C3" w14:textId="77777777" w:rsidR="006D757B" w:rsidRPr="002A2241" w:rsidRDefault="006D757B" w:rsidP="006D757B"/>
          <w:p w14:paraId="583BB9FA" w14:textId="4CEF7F81" w:rsidR="006D757B" w:rsidRPr="00F00B48" w:rsidRDefault="006D757B" w:rsidP="009E4E28">
            <w:pPr>
              <w:autoSpaceDE w:val="0"/>
              <w:autoSpaceDN w:val="0"/>
              <w:adjustRightInd w:val="0"/>
              <w:rPr>
                <w:rFonts w:eastAsiaTheme="minorHAnsi" w:cstheme="minorHAnsi"/>
                <w:b/>
                <w:bCs/>
                <w14:ligatures w14:val="standardContextual"/>
              </w:rPr>
            </w:pPr>
          </w:p>
        </w:tc>
      </w:tr>
      <w:bookmarkEnd w:id="0"/>
    </w:tbl>
    <w:p w14:paraId="18AD8666" w14:textId="77777777" w:rsidR="00346FB8" w:rsidRPr="00F00B48" w:rsidRDefault="00346FB8" w:rsidP="00346FB8">
      <w:pPr>
        <w:jc w:val="center"/>
        <w:rPr>
          <w:rFonts w:cstheme="minorHAnsi"/>
          <w:b/>
          <w:bCs/>
          <w:sz w:val="24"/>
          <w:szCs w:val="24"/>
        </w:rPr>
      </w:pPr>
    </w:p>
    <w:sectPr w:rsidR="00346FB8" w:rsidRPr="00F00B48" w:rsidSect="00654F6F">
      <w:headerReference w:type="default" r:id="rId13"/>
      <w:footerReference w:type="default" r:id="rId14"/>
      <w:pgSz w:w="11906" w:h="16838" w:code="9"/>
      <w:pgMar w:top="284" w:right="720" w:bottom="851"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2068" w14:textId="77777777" w:rsidR="00516B5D" w:rsidRDefault="00516B5D" w:rsidP="00440F7B">
      <w:pPr>
        <w:spacing w:after="0" w:line="240" w:lineRule="auto"/>
      </w:pPr>
      <w:r>
        <w:separator/>
      </w:r>
    </w:p>
  </w:endnote>
  <w:endnote w:type="continuationSeparator" w:id="0">
    <w:p w14:paraId="76942C17" w14:textId="77777777" w:rsidR="00516B5D" w:rsidRDefault="00516B5D" w:rsidP="0044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62B7" w14:textId="6063E6B5" w:rsidR="00440F7B" w:rsidRDefault="00F93804" w:rsidP="00F93804">
    <w:pPr>
      <w:tabs>
        <w:tab w:val="left" w:pos="3120"/>
      </w:tabs>
    </w:pPr>
    <w:r w:rsidRPr="00440F7B">
      <w:rPr>
        <w:noProof/>
      </w:rPr>
      <w:drawing>
        <wp:anchor distT="0" distB="0" distL="114300" distR="114300" simplePos="0" relativeHeight="251662336" behindDoc="0" locked="0" layoutInCell="1" allowOverlap="1" wp14:anchorId="22B83AB2" wp14:editId="17F0C901">
          <wp:simplePos x="0" y="0"/>
          <wp:positionH relativeFrom="column">
            <wp:posOffset>5298894</wp:posOffset>
          </wp:positionH>
          <wp:positionV relativeFrom="paragraph">
            <wp:posOffset>211365</wp:posOffset>
          </wp:positionV>
          <wp:extent cx="336550" cy="568325"/>
          <wp:effectExtent l="0" t="0" r="6350" b="3175"/>
          <wp:wrapNone/>
          <wp:docPr id="1357079096" name="Picture 19" descr="G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GCC.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6550" cy="568325"/>
                  </a:xfrm>
                  <a:prstGeom prst="rect">
                    <a:avLst/>
                  </a:prstGeom>
                </pic:spPr>
              </pic:pic>
            </a:graphicData>
          </a:graphic>
        </wp:anchor>
      </w:drawing>
    </w:r>
    <w:r w:rsidRPr="00440F7B">
      <w:rPr>
        <w:noProof/>
      </w:rPr>
      <mc:AlternateContent>
        <mc:Choice Requires="wps">
          <w:drawing>
            <wp:anchor distT="0" distB="0" distL="114300" distR="114300" simplePos="0" relativeHeight="251661312" behindDoc="0" locked="0" layoutInCell="1" allowOverlap="1" wp14:anchorId="6469E7F0" wp14:editId="727D171E">
              <wp:simplePos x="0" y="0"/>
              <wp:positionH relativeFrom="page">
                <wp:align>right</wp:align>
              </wp:positionH>
              <wp:positionV relativeFrom="paragraph">
                <wp:posOffset>69125</wp:posOffset>
              </wp:positionV>
              <wp:extent cx="7548880" cy="902880"/>
              <wp:effectExtent l="0" t="0" r="0" b="0"/>
              <wp:wrapNone/>
              <wp:docPr id="7" name="Rectangle 6"/>
              <wp:cNvGraphicFramePr/>
              <a:graphic xmlns:a="http://schemas.openxmlformats.org/drawingml/2006/main">
                <a:graphicData uri="http://schemas.microsoft.com/office/word/2010/wordprocessingShape">
                  <wps:wsp>
                    <wps:cNvSpPr/>
                    <wps:spPr>
                      <a:xfrm>
                        <a:off x="0" y="0"/>
                        <a:ext cx="7548880" cy="90288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DA6AA" w14:textId="77777777" w:rsidR="00F93804" w:rsidRDefault="00F93804" w:rsidP="00F93804">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6469E7F0" id="Rectangle 6" o:spid="_x0000_s1026" style="position:absolute;margin-left:543.2pt;margin-top:5.45pt;width:594.4pt;height:71.1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" fillcolor="#0a387a" stroked="f" strokeweight="1pt">
              <v:textbox>
                <w:txbxContent>
                  <w:p w14:paraId="3ECDA6AA" w14:textId="77777777" w:rsidR="00F93804" w:rsidRDefault="00F93804" w:rsidP="00F93804">
                    <w:pPr>
                      <w:jc w:val="center"/>
                    </w:pPr>
                  </w:p>
                </w:txbxContent>
              </v:textbox>
              <w10:wrap anchorx="page"/>
            </v:rect>
          </w:pict>
        </mc:Fallback>
      </mc:AlternateContent>
    </w:r>
    <w:r>
      <w:tab/>
    </w:r>
  </w:p>
  <w:p w14:paraId="340FB447" w14:textId="73969A06" w:rsidR="00F93804" w:rsidRDefault="00F93804" w:rsidP="00F93804">
    <w:pPr>
      <w:tabs>
        <w:tab w:val="left" w:pos="3120"/>
      </w:tabs>
    </w:pPr>
    <w:r w:rsidRPr="00440F7B">
      <w:rPr>
        <w:noProof/>
      </w:rPr>
      <w:drawing>
        <wp:anchor distT="0" distB="0" distL="114300" distR="114300" simplePos="0" relativeHeight="251664384" behindDoc="0" locked="0" layoutInCell="1" allowOverlap="1" wp14:anchorId="58B67B7A" wp14:editId="739FC413">
          <wp:simplePos x="0" y="0"/>
          <wp:positionH relativeFrom="margin">
            <wp:align>left</wp:align>
          </wp:positionH>
          <wp:positionV relativeFrom="paragraph">
            <wp:posOffset>14605</wp:posOffset>
          </wp:positionV>
          <wp:extent cx="1842770" cy="473075"/>
          <wp:effectExtent l="0" t="0" r="5080" b="3175"/>
          <wp:wrapNone/>
          <wp:docPr id="5480302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42770" cy="473075"/>
                  </a:xfrm>
                  <a:prstGeom prst="rect">
                    <a:avLst/>
                  </a:prstGeom>
                </pic:spPr>
              </pic:pic>
            </a:graphicData>
          </a:graphic>
        </wp:anchor>
      </w:drawing>
    </w:r>
    <w:r w:rsidRPr="00440F7B">
      <w:rPr>
        <w:noProof/>
      </w:rPr>
      <w:drawing>
        <wp:anchor distT="0" distB="0" distL="114300" distR="114300" simplePos="0" relativeHeight="251663360" behindDoc="0" locked="0" layoutInCell="1" allowOverlap="1" wp14:anchorId="3D2179ED" wp14:editId="3A39FED1">
          <wp:simplePos x="0" y="0"/>
          <wp:positionH relativeFrom="column">
            <wp:posOffset>2451826</wp:posOffset>
          </wp:positionH>
          <wp:positionV relativeFrom="paragraph">
            <wp:posOffset>9525</wp:posOffset>
          </wp:positionV>
          <wp:extent cx="2374265" cy="512445"/>
          <wp:effectExtent l="0" t="0" r="6985" b="1905"/>
          <wp:wrapNone/>
          <wp:docPr id="439332916" name="Picture 24" descr="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Icons.p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74265" cy="512445"/>
                  </a:xfrm>
                  <a:prstGeom prst="rect">
                    <a:avLst/>
                  </a:prstGeom>
                </pic:spPr>
              </pic:pic>
            </a:graphicData>
          </a:graphic>
        </wp:anchor>
      </w:drawing>
    </w:r>
    <w:r>
      <w:rPr>
        <w:noProof/>
      </w:rPr>
      <mc:AlternateContent>
        <mc:Choice Requires="wps">
          <w:drawing>
            <wp:anchor distT="45720" distB="45720" distL="114300" distR="114300" simplePos="0" relativeHeight="251666432" behindDoc="0" locked="0" layoutInCell="1" allowOverlap="1" wp14:anchorId="55016C2D" wp14:editId="054D5367">
              <wp:simplePos x="0" y="0"/>
              <wp:positionH relativeFrom="margin">
                <wp:align>right</wp:align>
              </wp:positionH>
              <wp:positionV relativeFrom="paragraph">
                <wp:posOffset>59146</wp:posOffset>
              </wp:positionV>
              <wp:extent cx="398145"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63220"/>
                      </a:xfrm>
                      <a:prstGeom prst="rect">
                        <a:avLst/>
                      </a:prstGeom>
                      <a:noFill/>
                      <a:ln w="9525">
                        <a:noFill/>
                        <a:miter lim="800000"/>
                        <a:headEnd/>
                        <a:tailEnd/>
                      </a:ln>
                    </wps:spPr>
                    <wps:txb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016C2D" id="_x0000_t202" coordsize="21600,21600" o:spt="202" path="m,l,21600r21600,l21600,xe">
              <v:stroke joinstyle="miter"/>
              <v:path gradientshapeok="t" o:connecttype="rect"/>
            </v:shapetype>
            <v:shape id="Text Box 2" o:spid="_x0000_s1027" type="#_x0000_t202" style="position:absolute;margin-left:-19.85pt;margin-top:4.65pt;width:31.35pt;height:28.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" filled="f" stroked="f">
              <v:textbo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1F61" w14:textId="77777777" w:rsidR="00516B5D" w:rsidRDefault="00516B5D" w:rsidP="00440F7B">
      <w:pPr>
        <w:spacing w:after="0" w:line="240" w:lineRule="auto"/>
      </w:pPr>
      <w:r>
        <w:separator/>
      </w:r>
    </w:p>
  </w:footnote>
  <w:footnote w:type="continuationSeparator" w:id="0">
    <w:p w14:paraId="45A1C3AA" w14:textId="77777777" w:rsidR="00516B5D" w:rsidRDefault="00516B5D" w:rsidP="00440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F9AD" w14:textId="77777777" w:rsidR="00A2588F" w:rsidRPr="00A2588F" w:rsidRDefault="008E1F31" w:rsidP="00D80522">
    <w:pPr>
      <w:pStyle w:val="Header"/>
      <w:jc w:val="center"/>
      <w:rPr>
        <w:rFonts w:ascii="Arial" w:hAnsi="Arial" w:cs="Arial"/>
        <w:color w:val="FFFFFF" w:themeColor="background1"/>
        <w:sz w:val="28"/>
        <w:szCs w:val="28"/>
      </w:rPr>
    </w:pPr>
    <w:r w:rsidRPr="00A2588F">
      <w:rPr>
        <w:rFonts w:ascii="Arial" w:hAnsi="Arial" w:cs="Arial"/>
        <w:noProof/>
        <w:color w:val="FFFFFF" w:themeColor="background1"/>
        <w:sz w:val="28"/>
        <w:szCs w:val="28"/>
      </w:rPr>
      <mc:AlternateContent>
        <mc:Choice Requires="wps">
          <w:drawing>
            <wp:anchor distT="0" distB="0" distL="114300" distR="114300" simplePos="0" relativeHeight="251660287" behindDoc="1" locked="0" layoutInCell="1" allowOverlap="1" wp14:anchorId="17AF3D02" wp14:editId="5D8E182B">
              <wp:simplePos x="0" y="0"/>
              <wp:positionH relativeFrom="page">
                <wp:align>right</wp:align>
              </wp:positionH>
              <wp:positionV relativeFrom="paragraph">
                <wp:posOffset>-450215</wp:posOffset>
              </wp:positionV>
              <wp:extent cx="7790180" cy="1225550"/>
              <wp:effectExtent l="0" t="0" r="1270" b="0"/>
              <wp:wrapNone/>
              <wp:docPr id="1292135164" name="Rectangle 6"/>
              <wp:cNvGraphicFramePr/>
              <a:graphic xmlns:a="http://schemas.openxmlformats.org/drawingml/2006/main">
                <a:graphicData uri="http://schemas.microsoft.com/office/word/2010/wordprocessingShape">
                  <wps:wsp>
                    <wps:cNvSpPr/>
                    <wps:spPr>
                      <a:xfrm>
                        <a:off x="0" y="0"/>
                        <a:ext cx="7790180" cy="122555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D3BAE94" id="Rectangle 6" o:spid="_x0000_s1026" style="position:absolute;margin-left:562.2pt;margin-top:-35.45pt;width:613.4pt;height:96.5pt;z-index:-25165619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" fillcolor="#0a387a" stroked="f" strokeweight="1pt">
              <w10:wrap anchorx="page"/>
            </v:rect>
          </w:pict>
        </mc:Fallback>
      </mc:AlternateContent>
    </w:r>
    <w:r w:rsidR="00EF6267" w:rsidRPr="00A2588F">
      <w:rPr>
        <w:rFonts w:ascii="Arial" w:hAnsi="Arial" w:cs="Arial"/>
        <w:color w:val="FFFFFF" w:themeColor="background1"/>
        <w:sz w:val="28"/>
        <w:szCs w:val="28"/>
      </w:rPr>
      <w:t>Gloucestershire Children’s Social Care</w:t>
    </w:r>
    <w:r w:rsidR="00A2588F" w:rsidRPr="00A2588F">
      <w:rPr>
        <w:rFonts w:ascii="Arial" w:hAnsi="Arial" w:cs="Arial"/>
        <w:color w:val="FFFFFF" w:themeColor="background1"/>
        <w:sz w:val="28"/>
        <w:szCs w:val="28"/>
      </w:rPr>
      <w:t xml:space="preserve">: </w:t>
    </w:r>
  </w:p>
  <w:p w14:paraId="7DE52975" w14:textId="77777777" w:rsidR="00A2588F" w:rsidRPr="00A2588F" w:rsidRDefault="00A2588F" w:rsidP="00D80522">
    <w:pPr>
      <w:pStyle w:val="Header"/>
      <w:jc w:val="center"/>
      <w:rPr>
        <w:rFonts w:ascii="Arial" w:hAnsi="Arial" w:cs="Arial"/>
        <w:color w:val="FFFFFF" w:themeColor="background1"/>
        <w:sz w:val="28"/>
        <w:szCs w:val="28"/>
      </w:rPr>
    </w:pPr>
  </w:p>
  <w:p w14:paraId="2CCB1BF0" w14:textId="2D2DD893" w:rsidR="00EF6267" w:rsidRPr="004B700F" w:rsidRDefault="00A2588F" w:rsidP="00A2588F">
    <w:pPr>
      <w:pStyle w:val="Header"/>
      <w:jc w:val="center"/>
      <w:rPr>
        <w:rFonts w:ascii="Arial" w:hAnsi="Arial" w:cs="Arial"/>
        <w:color w:val="FFFFFF" w:themeColor="background1"/>
        <w:sz w:val="28"/>
        <w:szCs w:val="28"/>
      </w:rPr>
    </w:pPr>
    <w:r w:rsidRPr="004B700F">
      <w:rPr>
        <w:rFonts w:ascii="Arial" w:hAnsi="Arial" w:cs="Arial"/>
        <w:color w:val="FFFFFF" w:themeColor="background1"/>
        <w:sz w:val="28"/>
        <w:szCs w:val="28"/>
      </w:rPr>
      <w:t xml:space="preserve">One Minute Guide: </w:t>
    </w:r>
    <w:r w:rsidR="00281CEE">
      <w:rPr>
        <w:rFonts w:ascii="Arial" w:hAnsi="Arial" w:cs="Arial"/>
        <w:color w:val="FFFFFF" w:themeColor="background1"/>
        <w:sz w:val="28"/>
        <w:szCs w:val="28"/>
      </w:rPr>
      <w:t>Regulation 24</w:t>
    </w:r>
  </w:p>
  <w:p w14:paraId="31D859E8" w14:textId="77777777" w:rsidR="00A2588F" w:rsidRPr="00F91CED" w:rsidRDefault="00A2588F" w:rsidP="00EF6267">
    <w:pPr>
      <w:pStyle w:val="Header"/>
      <w:rPr>
        <w:color w:val="FFFFFF" w:themeColor="background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A4BF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F2C9C"/>
    <w:multiLevelType w:val="hybridMultilevel"/>
    <w:tmpl w:val="0004029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89D6A7E"/>
    <w:multiLevelType w:val="hybridMultilevel"/>
    <w:tmpl w:val="7256AB6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1A3F0FEA"/>
    <w:multiLevelType w:val="hybridMultilevel"/>
    <w:tmpl w:val="4E0EC988"/>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4" w15:restartNumberingAfterBreak="0">
    <w:nsid w:val="23D9686A"/>
    <w:multiLevelType w:val="multilevel"/>
    <w:tmpl w:val="0AF2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02170"/>
    <w:multiLevelType w:val="hybridMultilevel"/>
    <w:tmpl w:val="78166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BA3630"/>
    <w:multiLevelType w:val="hybridMultilevel"/>
    <w:tmpl w:val="413E5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E94EB1"/>
    <w:multiLevelType w:val="multilevel"/>
    <w:tmpl w:val="1FD8F1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084A05"/>
    <w:multiLevelType w:val="hybridMultilevel"/>
    <w:tmpl w:val="E40660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387818AC"/>
    <w:multiLevelType w:val="hybridMultilevel"/>
    <w:tmpl w:val="59BC1EC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38A25D92"/>
    <w:multiLevelType w:val="multilevel"/>
    <w:tmpl w:val="F2A8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934D3"/>
    <w:multiLevelType w:val="hybridMultilevel"/>
    <w:tmpl w:val="608C5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5A3E83"/>
    <w:multiLevelType w:val="hybridMultilevel"/>
    <w:tmpl w:val="E45C19B4"/>
    <w:lvl w:ilvl="0" w:tplc="F44EFCE2">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435A5"/>
    <w:multiLevelType w:val="multilevel"/>
    <w:tmpl w:val="680E3D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396822"/>
    <w:multiLevelType w:val="multilevel"/>
    <w:tmpl w:val="6F3A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44786"/>
    <w:multiLevelType w:val="hybridMultilevel"/>
    <w:tmpl w:val="2F0E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B1D9A"/>
    <w:multiLevelType w:val="multilevel"/>
    <w:tmpl w:val="C0FC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C3375"/>
    <w:multiLevelType w:val="hybridMultilevel"/>
    <w:tmpl w:val="74E058F0"/>
    <w:lvl w:ilvl="0" w:tplc="F44EFCE2">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344A79"/>
    <w:multiLevelType w:val="hybridMultilevel"/>
    <w:tmpl w:val="B2365AFC"/>
    <w:lvl w:ilvl="0" w:tplc="C7664B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01757A"/>
    <w:multiLevelType w:val="hybridMultilevel"/>
    <w:tmpl w:val="1F9A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B575E"/>
    <w:multiLevelType w:val="hybridMultilevel"/>
    <w:tmpl w:val="FEAE1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8B2DAD"/>
    <w:multiLevelType w:val="hybridMultilevel"/>
    <w:tmpl w:val="25A6A2E0"/>
    <w:lvl w:ilvl="0" w:tplc="F44EFCE2">
      <w:start w:val="1"/>
      <w:numFmt w:val="bullet"/>
      <w:lvlText w:val="•"/>
      <w:lvlJc w:val="left"/>
      <w:pPr>
        <w:tabs>
          <w:tab w:val="num" w:pos="1080"/>
        </w:tabs>
        <w:ind w:left="108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A27E3"/>
    <w:multiLevelType w:val="hybridMultilevel"/>
    <w:tmpl w:val="EBDACC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DCC3595"/>
    <w:multiLevelType w:val="multilevel"/>
    <w:tmpl w:val="CA8E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CC4039"/>
    <w:multiLevelType w:val="multilevel"/>
    <w:tmpl w:val="1A6A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16A0F"/>
    <w:multiLevelType w:val="multilevel"/>
    <w:tmpl w:val="FEA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408FB"/>
    <w:multiLevelType w:val="hybridMultilevel"/>
    <w:tmpl w:val="5F56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D21D5B"/>
    <w:multiLevelType w:val="hybridMultilevel"/>
    <w:tmpl w:val="CF9E7E8A"/>
    <w:lvl w:ilvl="0" w:tplc="F44EFCE2">
      <w:start w:val="1"/>
      <w:numFmt w:val="bullet"/>
      <w:lvlText w:val="•"/>
      <w:lvlJc w:val="left"/>
      <w:pPr>
        <w:tabs>
          <w:tab w:val="num" w:pos="1080"/>
        </w:tabs>
        <w:ind w:left="1080" w:hanging="360"/>
      </w:pPr>
      <w:rPr>
        <w:rFonts w:ascii="Arial" w:hAnsi="Arial" w:hint="default"/>
      </w:rPr>
    </w:lvl>
    <w:lvl w:ilvl="1" w:tplc="1CFEC4DC" w:tentative="1">
      <w:start w:val="1"/>
      <w:numFmt w:val="bullet"/>
      <w:lvlText w:val="•"/>
      <w:lvlJc w:val="left"/>
      <w:pPr>
        <w:tabs>
          <w:tab w:val="num" w:pos="1800"/>
        </w:tabs>
        <w:ind w:left="1800" w:hanging="360"/>
      </w:pPr>
      <w:rPr>
        <w:rFonts w:ascii="Arial" w:hAnsi="Arial" w:hint="default"/>
      </w:rPr>
    </w:lvl>
    <w:lvl w:ilvl="2" w:tplc="A9B4DCBC" w:tentative="1">
      <w:start w:val="1"/>
      <w:numFmt w:val="bullet"/>
      <w:lvlText w:val="•"/>
      <w:lvlJc w:val="left"/>
      <w:pPr>
        <w:tabs>
          <w:tab w:val="num" w:pos="2520"/>
        </w:tabs>
        <w:ind w:left="2520" w:hanging="360"/>
      </w:pPr>
      <w:rPr>
        <w:rFonts w:ascii="Arial" w:hAnsi="Arial" w:hint="default"/>
      </w:rPr>
    </w:lvl>
    <w:lvl w:ilvl="3" w:tplc="C99280E4" w:tentative="1">
      <w:start w:val="1"/>
      <w:numFmt w:val="bullet"/>
      <w:lvlText w:val="•"/>
      <w:lvlJc w:val="left"/>
      <w:pPr>
        <w:tabs>
          <w:tab w:val="num" w:pos="3240"/>
        </w:tabs>
        <w:ind w:left="3240" w:hanging="360"/>
      </w:pPr>
      <w:rPr>
        <w:rFonts w:ascii="Arial" w:hAnsi="Arial" w:hint="default"/>
      </w:rPr>
    </w:lvl>
    <w:lvl w:ilvl="4" w:tplc="150A7D78" w:tentative="1">
      <w:start w:val="1"/>
      <w:numFmt w:val="bullet"/>
      <w:lvlText w:val="•"/>
      <w:lvlJc w:val="left"/>
      <w:pPr>
        <w:tabs>
          <w:tab w:val="num" w:pos="3960"/>
        </w:tabs>
        <w:ind w:left="3960" w:hanging="360"/>
      </w:pPr>
      <w:rPr>
        <w:rFonts w:ascii="Arial" w:hAnsi="Arial" w:hint="default"/>
      </w:rPr>
    </w:lvl>
    <w:lvl w:ilvl="5" w:tplc="0C0EEAB2" w:tentative="1">
      <w:start w:val="1"/>
      <w:numFmt w:val="bullet"/>
      <w:lvlText w:val="•"/>
      <w:lvlJc w:val="left"/>
      <w:pPr>
        <w:tabs>
          <w:tab w:val="num" w:pos="4680"/>
        </w:tabs>
        <w:ind w:left="4680" w:hanging="360"/>
      </w:pPr>
      <w:rPr>
        <w:rFonts w:ascii="Arial" w:hAnsi="Arial" w:hint="default"/>
      </w:rPr>
    </w:lvl>
    <w:lvl w:ilvl="6" w:tplc="74009588" w:tentative="1">
      <w:start w:val="1"/>
      <w:numFmt w:val="bullet"/>
      <w:lvlText w:val="•"/>
      <w:lvlJc w:val="left"/>
      <w:pPr>
        <w:tabs>
          <w:tab w:val="num" w:pos="5400"/>
        </w:tabs>
        <w:ind w:left="5400" w:hanging="360"/>
      </w:pPr>
      <w:rPr>
        <w:rFonts w:ascii="Arial" w:hAnsi="Arial" w:hint="default"/>
      </w:rPr>
    </w:lvl>
    <w:lvl w:ilvl="7" w:tplc="2BD629BE" w:tentative="1">
      <w:start w:val="1"/>
      <w:numFmt w:val="bullet"/>
      <w:lvlText w:val="•"/>
      <w:lvlJc w:val="left"/>
      <w:pPr>
        <w:tabs>
          <w:tab w:val="num" w:pos="6120"/>
        </w:tabs>
        <w:ind w:left="6120" w:hanging="360"/>
      </w:pPr>
      <w:rPr>
        <w:rFonts w:ascii="Arial" w:hAnsi="Arial" w:hint="default"/>
      </w:rPr>
    </w:lvl>
    <w:lvl w:ilvl="8" w:tplc="E7BEFC9C" w:tentative="1">
      <w:start w:val="1"/>
      <w:numFmt w:val="bullet"/>
      <w:lvlText w:val="•"/>
      <w:lvlJc w:val="left"/>
      <w:pPr>
        <w:tabs>
          <w:tab w:val="num" w:pos="6840"/>
        </w:tabs>
        <w:ind w:left="6840" w:hanging="360"/>
      </w:pPr>
      <w:rPr>
        <w:rFonts w:ascii="Arial" w:hAnsi="Arial" w:hint="default"/>
      </w:rPr>
    </w:lvl>
  </w:abstractNum>
  <w:abstractNum w:abstractNumId="28" w15:restartNumberingAfterBreak="0">
    <w:nsid w:val="710C2BA2"/>
    <w:multiLevelType w:val="multilevel"/>
    <w:tmpl w:val="36A8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310556"/>
    <w:multiLevelType w:val="hybridMultilevel"/>
    <w:tmpl w:val="13AAA07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0" w15:restartNumberingAfterBreak="0">
    <w:nsid w:val="76AE34D1"/>
    <w:multiLevelType w:val="multilevel"/>
    <w:tmpl w:val="0E4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37386"/>
    <w:multiLevelType w:val="hybridMultilevel"/>
    <w:tmpl w:val="C1068C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233485">
    <w:abstractNumId w:val="24"/>
  </w:num>
  <w:num w:numId="2" w16cid:durableId="1548370633">
    <w:abstractNumId w:val="26"/>
  </w:num>
  <w:num w:numId="3" w16cid:durableId="1418676072">
    <w:abstractNumId w:val="8"/>
  </w:num>
  <w:num w:numId="4" w16cid:durableId="86004603">
    <w:abstractNumId w:val="31"/>
  </w:num>
  <w:num w:numId="5" w16cid:durableId="1945964821">
    <w:abstractNumId w:val="29"/>
  </w:num>
  <w:num w:numId="6" w16cid:durableId="1542981718">
    <w:abstractNumId w:val="27"/>
  </w:num>
  <w:num w:numId="7" w16cid:durableId="1245338780">
    <w:abstractNumId w:val="5"/>
  </w:num>
  <w:num w:numId="8" w16cid:durableId="1668826922">
    <w:abstractNumId w:val="0"/>
  </w:num>
  <w:num w:numId="9" w16cid:durableId="1855605121">
    <w:abstractNumId w:val="6"/>
  </w:num>
  <w:num w:numId="10" w16cid:durableId="2057314443">
    <w:abstractNumId w:val="11"/>
  </w:num>
  <w:num w:numId="11" w16cid:durableId="1241211789">
    <w:abstractNumId w:val="22"/>
  </w:num>
  <w:num w:numId="12" w16cid:durableId="1616595307">
    <w:abstractNumId w:val="17"/>
  </w:num>
  <w:num w:numId="13" w16cid:durableId="1859806370">
    <w:abstractNumId w:val="21"/>
  </w:num>
  <w:num w:numId="14" w16cid:durableId="341055327">
    <w:abstractNumId w:val="12"/>
  </w:num>
  <w:num w:numId="15" w16cid:durableId="1519612737">
    <w:abstractNumId w:val="7"/>
  </w:num>
  <w:num w:numId="16" w16cid:durableId="1836803652">
    <w:abstractNumId w:val="13"/>
  </w:num>
  <w:num w:numId="17" w16cid:durableId="641155114">
    <w:abstractNumId w:val="19"/>
  </w:num>
  <w:num w:numId="18" w16cid:durableId="520709586">
    <w:abstractNumId w:val="28"/>
  </w:num>
  <w:num w:numId="19" w16cid:durableId="591741294">
    <w:abstractNumId w:val="15"/>
  </w:num>
  <w:num w:numId="20" w16cid:durableId="509686598">
    <w:abstractNumId w:val="9"/>
  </w:num>
  <w:num w:numId="21" w16cid:durableId="1165438384">
    <w:abstractNumId w:val="1"/>
  </w:num>
  <w:num w:numId="22" w16cid:durableId="1365981571">
    <w:abstractNumId w:val="3"/>
  </w:num>
  <w:num w:numId="23" w16cid:durableId="2025521605">
    <w:abstractNumId w:val="2"/>
  </w:num>
  <w:num w:numId="24" w16cid:durableId="428548513">
    <w:abstractNumId w:val="20"/>
  </w:num>
  <w:num w:numId="25" w16cid:durableId="368065411">
    <w:abstractNumId w:val="18"/>
  </w:num>
  <w:num w:numId="26" w16cid:durableId="251816808">
    <w:abstractNumId w:val="25"/>
  </w:num>
  <w:num w:numId="27" w16cid:durableId="1620643988">
    <w:abstractNumId w:val="16"/>
  </w:num>
  <w:num w:numId="28" w16cid:durableId="1473788073">
    <w:abstractNumId w:val="14"/>
  </w:num>
  <w:num w:numId="29" w16cid:durableId="1316643324">
    <w:abstractNumId w:val="10"/>
  </w:num>
  <w:num w:numId="30" w16cid:durableId="2023703779">
    <w:abstractNumId w:val="23"/>
  </w:num>
  <w:num w:numId="31" w16cid:durableId="1569732163">
    <w:abstractNumId w:val="30"/>
  </w:num>
  <w:num w:numId="32" w16cid:durableId="568923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7C"/>
    <w:rsid w:val="00010A86"/>
    <w:rsid w:val="00043AFE"/>
    <w:rsid w:val="0005058D"/>
    <w:rsid w:val="00052FE9"/>
    <w:rsid w:val="00075D32"/>
    <w:rsid w:val="000B36D1"/>
    <w:rsid w:val="000C4866"/>
    <w:rsid w:val="000D60A8"/>
    <w:rsid w:val="000D79F8"/>
    <w:rsid w:val="000E361E"/>
    <w:rsid w:val="001027BC"/>
    <w:rsid w:val="001208C5"/>
    <w:rsid w:val="00122A42"/>
    <w:rsid w:val="00130664"/>
    <w:rsid w:val="0015069A"/>
    <w:rsid w:val="00153EF8"/>
    <w:rsid w:val="00161139"/>
    <w:rsid w:val="001616D4"/>
    <w:rsid w:val="00163262"/>
    <w:rsid w:val="001765B3"/>
    <w:rsid w:val="0019079F"/>
    <w:rsid w:val="001A37E2"/>
    <w:rsid w:val="001D2632"/>
    <w:rsid w:val="001D545E"/>
    <w:rsid w:val="001F77F7"/>
    <w:rsid w:val="00224684"/>
    <w:rsid w:val="00267EC0"/>
    <w:rsid w:val="00275F57"/>
    <w:rsid w:val="00281CEE"/>
    <w:rsid w:val="002A3117"/>
    <w:rsid w:val="002A7F17"/>
    <w:rsid w:val="002C2D56"/>
    <w:rsid w:val="002C61B3"/>
    <w:rsid w:val="002D3949"/>
    <w:rsid w:val="003008C1"/>
    <w:rsid w:val="00313E68"/>
    <w:rsid w:val="003345BA"/>
    <w:rsid w:val="00346FB8"/>
    <w:rsid w:val="00353C1C"/>
    <w:rsid w:val="00372DAA"/>
    <w:rsid w:val="0037431C"/>
    <w:rsid w:val="003868CE"/>
    <w:rsid w:val="003C04B5"/>
    <w:rsid w:val="003D1763"/>
    <w:rsid w:val="003D7712"/>
    <w:rsid w:val="003F2FCA"/>
    <w:rsid w:val="004106EB"/>
    <w:rsid w:val="00415075"/>
    <w:rsid w:val="00424175"/>
    <w:rsid w:val="00440F7B"/>
    <w:rsid w:val="00446230"/>
    <w:rsid w:val="00450032"/>
    <w:rsid w:val="00493642"/>
    <w:rsid w:val="004B700F"/>
    <w:rsid w:val="004C10A6"/>
    <w:rsid w:val="004C1FDD"/>
    <w:rsid w:val="004C2020"/>
    <w:rsid w:val="004F7897"/>
    <w:rsid w:val="00504F08"/>
    <w:rsid w:val="0050662A"/>
    <w:rsid w:val="0051586F"/>
    <w:rsid w:val="00516B5D"/>
    <w:rsid w:val="00521327"/>
    <w:rsid w:val="005252CB"/>
    <w:rsid w:val="00541308"/>
    <w:rsid w:val="00543130"/>
    <w:rsid w:val="005447F3"/>
    <w:rsid w:val="005527AF"/>
    <w:rsid w:val="005664E4"/>
    <w:rsid w:val="0056663D"/>
    <w:rsid w:val="00567A00"/>
    <w:rsid w:val="00595F40"/>
    <w:rsid w:val="005A0313"/>
    <w:rsid w:val="005A09D3"/>
    <w:rsid w:val="006253DA"/>
    <w:rsid w:val="00626DAB"/>
    <w:rsid w:val="0064041E"/>
    <w:rsid w:val="00654F6F"/>
    <w:rsid w:val="00663D27"/>
    <w:rsid w:val="006B6C75"/>
    <w:rsid w:val="006C1BB6"/>
    <w:rsid w:val="006D6DCA"/>
    <w:rsid w:val="006D757B"/>
    <w:rsid w:val="006E470F"/>
    <w:rsid w:val="00743A02"/>
    <w:rsid w:val="007531B6"/>
    <w:rsid w:val="00761BA7"/>
    <w:rsid w:val="007A66B1"/>
    <w:rsid w:val="007B58C1"/>
    <w:rsid w:val="00817A17"/>
    <w:rsid w:val="00846E8C"/>
    <w:rsid w:val="008806AA"/>
    <w:rsid w:val="0088239E"/>
    <w:rsid w:val="008B4318"/>
    <w:rsid w:val="008B720C"/>
    <w:rsid w:val="008E1F31"/>
    <w:rsid w:val="008E6613"/>
    <w:rsid w:val="00915815"/>
    <w:rsid w:val="00941D63"/>
    <w:rsid w:val="00971BB0"/>
    <w:rsid w:val="00981C11"/>
    <w:rsid w:val="009A126A"/>
    <w:rsid w:val="009A329D"/>
    <w:rsid w:val="009B7335"/>
    <w:rsid w:val="009C0FF7"/>
    <w:rsid w:val="009C19DB"/>
    <w:rsid w:val="009D6F63"/>
    <w:rsid w:val="009E0892"/>
    <w:rsid w:val="009E4E28"/>
    <w:rsid w:val="009E661F"/>
    <w:rsid w:val="009F0BFC"/>
    <w:rsid w:val="009F4367"/>
    <w:rsid w:val="00A01184"/>
    <w:rsid w:val="00A2588F"/>
    <w:rsid w:val="00A47630"/>
    <w:rsid w:val="00A57B21"/>
    <w:rsid w:val="00A63B48"/>
    <w:rsid w:val="00A707E5"/>
    <w:rsid w:val="00A8175D"/>
    <w:rsid w:val="00A824D4"/>
    <w:rsid w:val="00AA72DB"/>
    <w:rsid w:val="00AC2943"/>
    <w:rsid w:val="00AE609C"/>
    <w:rsid w:val="00B11751"/>
    <w:rsid w:val="00B17F1A"/>
    <w:rsid w:val="00B27011"/>
    <w:rsid w:val="00B2788F"/>
    <w:rsid w:val="00B30BF4"/>
    <w:rsid w:val="00B336B3"/>
    <w:rsid w:val="00B462E0"/>
    <w:rsid w:val="00B5519A"/>
    <w:rsid w:val="00B752F3"/>
    <w:rsid w:val="00B85AE4"/>
    <w:rsid w:val="00BC617C"/>
    <w:rsid w:val="00BD7BA1"/>
    <w:rsid w:val="00BE5883"/>
    <w:rsid w:val="00BE76D0"/>
    <w:rsid w:val="00BF48DB"/>
    <w:rsid w:val="00C009A1"/>
    <w:rsid w:val="00C51766"/>
    <w:rsid w:val="00C571EF"/>
    <w:rsid w:val="00C76D89"/>
    <w:rsid w:val="00C813F0"/>
    <w:rsid w:val="00CD2E4F"/>
    <w:rsid w:val="00CD4D4F"/>
    <w:rsid w:val="00D02FE6"/>
    <w:rsid w:val="00D06E3F"/>
    <w:rsid w:val="00D17FE2"/>
    <w:rsid w:val="00D228B7"/>
    <w:rsid w:val="00D51EE7"/>
    <w:rsid w:val="00D5221D"/>
    <w:rsid w:val="00D61DC1"/>
    <w:rsid w:val="00D80522"/>
    <w:rsid w:val="00D82D1E"/>
    <w:rsid w:val="00D946E5"/>
    <w:rsid w:val="00DD4CF5"/>
    <w:rsid w:val="00DE7845"/>
    <w:rsid w:val="00E030DB"/>
    <w:rsid w:val="00E10CCF"/>
    <w:rsid w:val="00E23E96"/>
    <w:rsid w:val="00E3114D"/>
    <w:rsid w:val="00E33785"/>
    <w:rsid w:val="00E34D97"/>
    <w:rsid w:val="00E418D7"/>
    <w:rsid w:val="00E533E7"/>
    <w:rsid w:val="00E70AED"/>
    <w:rsid w:val="00E97EA3"/>
    <w:rsid w:val="00EA0A38"/>
    <w:rsid w:val="00EB299E"/>
    <w:rsid w:val="00EB6844"/>
    <w:rsid w:val="00EB6847"/>
    <w:rsid w:val="00ED5E39"/>
    <w:rsid w:val="00EF6267"/>
    <w:rsid w:val="00F00B48"/>
    <w:rsid w:val="00F03775"/>
    <w:rsid w:val="00F05BE8"/>
    <w:rsid w:val="00F10A2A"/>
    <w:rsid w:val="00F21CAD"/>
    <w:rsid w:val="00F22EAA"/>
    <w:rsid w:val="00F45CD0"/>
    <w:rsid w:val="00F658C4"/>
    <w:rsid w:val="00F7155E"/>
    <w:rsid w:val="00F76B7D"/>
    <w:rsid w:val="00F91CED"/>
    <w:rsid w:val="00F93804"/>
    <w:rsid w:val="00FC0C82"/>
    <w:rsid w:val="00FC0E9F"/>
    <w:rsid w:val="00FC38E6"/>
    <w:rsid w:val="00FC39AB"/>
    <w:rsid w:val="00FD0E2B"/>
    <w:rsid w:val="00FD2B50"/>
    <w:rsid w:val="00FD5D59"/>
    <w:rsid w:val="00FD676C"/>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DBD6"/>
  <w15:chartTrackingRefBased/>
  <w15:docId w15:val="{E3AE751E-5006-4AB2-BC5A-6D8AB61B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5"/>
  </w:style>
  <w:style w:type="paragraph" w:styleId="Heading1">
    <w:name w:val="heading 1"/>
    <w:basedOn w:val="Normal"/>
    <w:next w:val="Normal"/>
    <w:link w:val="Heading1Char"/>
    <w:uiPriority w:val="9"/>
    <w:qFormat/>
    <w:rsid w:val="00DD4CF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DD4CF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DD4C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D4C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D4CF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D4C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D4C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D4C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D4C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7B"/>
  </w:style>
  <w:style w:type="paragraph" w:styleId="Footer">
    <w:name w:val="footer"/>
    <w:basedOn w:val="Normal"/>
    <w:link w:val="FooterChar"/>
    <w:uiPriority w:val="99"/>
    <w:unhideWhenUsed/>
    <w:rsid w:val="00440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F7B"/>
  </w:style>
  <w:style w:type="paragraph" w:styleId="Title">
    <w:name w:val="Title"/>
    <w:basedOn w:val="Normal"/>
    <w:next w:val="Normal"/>
    <w:link w:val="TitleChar"/>
    <w:uiPriority w:val="10"/>
    <w:qFormat/>
    <w:rsid w:val="00DD4CF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D4CF5"/>
    <w:rPr>
      <w:rFonts w:asciiTheme="majorHAnsi" w:eastAsiaTheme="majorEastAsia" w:hAnsiTheme="majorHAnsi" w:cstheme="majorBidi"/>
      <w:color w:val="365F91" w:themeColor="accent1" w:themeShade="BF"/>
      <w:spacing w:val="-7"/>
      <w:sz w:val="80"/>
      <w:szCs w:val="80"/>
    </w:rPr>
  </w:style>
  <w:style w:type="character" w:customStyle="1" w:styleId="Heading1Char">
    <w:name w:val="Heading 1 Char"/>
    <w:basedOn w:val="DefaultParagraphFont"/>
    <w:link w:val="Heading1"/>
    <w:uiPriority w:val="9"/>
    <w:rsid w:val="00DD4CF5"/>
    <w:rPr>
      <w:rFonts w:asciiTheme="majorHAnsi" w:eastAsiaTheme="majorEastAsia" w:hAnsiTheme="majorHAnsi" w:cstheme="majorBidi"/>
      <w:color w:val="365F91" w:themeColor="accent1" w:themeShade="BF"/>
      <w:sz w:val="36"/>
      <w:szCs w:val="36"/>
    </w:rPr>
  </w:style>
  <w:style w:type="paragraph" w:styleId="Subtitle">
    <w:name w:val="Subtitle"/>
    <w:basedOn w:val="Normal"/>
    <w:next w:val="Normal"/>
    <w:link w:val="SubtitleChar"/>
    <w:uiPriority w:val="2"/>
    <w:qFormat/>
    <w:rsid w:val="00DD4C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2"/>
    <w:rsid w:val="00DD4CF5"/>
    <w:rPr>
      <w:rFonts w:asciiTheme="majorHAnsi" w:eastAsiaTheme="majorEastAsia" w:hAnsiTheme="majorHAnsi" w:cstheme="majorBidi"/>
      <w:color w:val="404040" w:themeColor="text1" w:themeTint="BF"/>
      <w:sz w:val="30"/>
      <w:szCs w:val="30"/>
    </w:rPr>
  </w:style>
  <w:style w:type="paragraph" w:styleId="NormalWeb">
    <w:name w:val="Normal (Web)"/>
    <w:basedOn w:val="Normal"/>
    <w:uiPriority w:val="99"/>
    <w:semiHidden/>
    <w:unhideWhenUsed/>
    <w:rsid w:val="008E1F31"/>
    <w:rPr>
      <w:rFonts w:ascii="Times New Roman" w:hAnsi="Times New Roman" w:cs="Times New Roman"/>
      <w:color w:val="000000" w:themeColor="text1"/>
      <w:sz w:val="24"/>
      <w:szCs w:val="24"/>
      <w:lang w:val="en-US" w:eastAsia="ja-JP"/>
    </w:rPr>
  </w:style>
  <w:style w:type="paragraph" w:styleId="ListParagraph">
    <w:name w:val="List Paragraph"/>
    <w:basedOn w:val="Normal"/>
    <w:link w:val="ListParagraphChar"/>
    <w:uiPriority w:val="34"/>
    <w:qFormat/>
    <w:rsid w:val="008E1F31"/>
    <w:pPr>
      <w:ind w:left="720"/>
      <w:contextualSpacing/>
    </w:pPr>
  </w:style>
  <w:style w:type="character" w:customStyle="1" w:styleId="Heading2Char">
    <w:name w:val="Heading 2 Char"/>
    <w:basedOn w:val="DefaultParagraphFont"/>
    <w:link w:val="Heading2"/>
    <w:uiPriority w:val="9"/>
    <w:rsid w:val="00DD4CF5"/>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DD4C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D4C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D4C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D4CF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D4CF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D4CF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D4CF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D4CF5"/>
    <w:pPr>
      <w:spacing w:line="240" w:lineRule="auto"/>
    </w:pPr>
    <w:rPr>
      <w:b/>
      <w:bCs/>
      <w:color w:val="404040" w:themeColor="text1" w:themeTint="BF"/>
      <w:sz w:val="20"/>
      <w:szCs w:val="20"/>
    </w:rPr>
  </w:style>
  <w:style w:type="character" w:styleId="Strong">
    <w:name w:val="Strong"/>
    <w:basedOn w:val="DefaultParagraphFont"/>
    <w:uiPriority w:val="22"/>
    <w:qFormat/>
    <w:rsid w:val="00DD4CF5"/>
    <w:rPr>
      <w:b/>
      <w:bCs/>
    </w:rPr>
  </w:style>
  <w:style w:type="character" w:styleId="Emphasis">
    <w:name w:val="Emphasis"/>
    <w:basedOn w:val="DefaultParagraphFont"/>
    <w:uiPriority w:val="20"/>
    <w:qFormat/>
    <w:rsid w:val="00DD4CF5"/>
    <w:rPr>
      <w:i/>
      <w:iCs/>
    </w:rPr>
  </w:style>
  <w:style w:type="paragraph" w:styleId="NoSpacing">
    <w:name w:val="No Spacing"/>
    <w:uiPriority w:val="1"/>
    <w:qFormat/>
    <w:rsid w:val="00DD4CF5"/>
    <w:pPr>
      <w:spacing w:after="0" w:line="240" w:lineRule="auto"/>
    </w:pPr>
  </w:style>
  <w:style w:type="paragraph" w:styleId="Quote">
    <w:name w:val="Quote"/>
    <w:basedOn w:val="Normal"/>
    <w:next w:val="Normal"/>
    <w:link w:val="QuoteChar"/>
    <w:uiPriority w:val="29"/>
    <w:qFormat/>
    <w:rsid w:val="00DD4C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D4CF5"/>
    <w:rPr>
      <w:i/>
      <w:iCs/>
    </w:rPr>
  </w:style>
  <w:style w:type="paragraph" w:styleId="IntenseQuote">
    <w:name w:val="Intense Quote"/>
    <w:basedOn w:val="Normal"/>
    <w:next w:val="Normal"/>
    <w:link w:val="IntenseQuoteChar"/>
    <w:uiPriority w:val="30"/>
    <w:qFormat/>
    <w:rsid w:val="00DD4CF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D4CF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D4CF5"/>
    <w:rPr>
      <w:i/>
      <w:iCs/>
      <w:color w:val="595959" w:themeColor="text1" w:themeTint="A6"/>
    </w:rPr>
  </w:style>
  <w:style w:type="character" w:styleId="IntenseEmphasis">
    <w:name w:val="Intense Emphasis"/>
    <w:basedOn w:val="DefaultParagraphFont"/>
    <w:uiPriority w:val="21"/>
    <w:qFormat/>
    <w:rsid w:val="00DD4CF5"/>
    <w:rPr>
      <w:b/>
      <w:bCs/>
      <w:i/>
      <w:iCs/>
    </w:rPr>
  </w:style>
  <w:style w:type="character" w:styleId="SubtleReference">
    <w:name w:val="Subtle Reference"/>
    <w:basedOn w:val="DefaultParagraphFont"/>
    <w:uiPriority w:val="31"/>
    <w:qFormat/>
    <w:rsid w:val="00DD4CF5"/>
    <w:rPr>
      <w:smallCaps/>
      <w:color w:val="404040" w:themeColor="text1" w:themeTint="BF"/>
    </w:rPr>
  </w:style>
  <w:style w:type="character" w:styleId="IntenseReference">
    <w:name w:val="Intense Reference"/>
    <w:basedOn w:val="DefaultParagraphFont"/>
    <w:uiPriority w:val="32"/>
    <w:qFormat/>
    <w:rsid w:val="00DD4CF5"/>
    <w:rPr>
      <w:b/>
      <w:bCs/>
      <w:smallCaps/>
      <w:u w:val="single"/>
    </w:rPr>
  </w:style>
  <w:style w:type="character" w:styleId="BookTitle">
    <w:name w:val="Book Title"/>
    <w:basedOn w:val="DefaultParagraphFont"/>
    <w:uiPriority w:val="33"/>
    <w:qFormat/>
    <w:rsid w:val="00DD4CF5"/>
    <w:rPr>
      <w:b/>
      <w:bCs/>
      <w:smallCaps/>
    </w:rPr>
  </w:style>
  <w:style w:type="paragraph" w:styleId="TOCHeading">
    <w:name w:val="TOC Heading"/>
    <w:basedOn w:val="Heading1"/>
    <w:next w:val="Normal"/>
    <w:uiPriority w:val="39"/>
    <w:semiHidden/>
    <w:unhideWhenUsed/>
    <w:qFormat/>
    <w:rsid w:val="00DD4CF5"/>
    <w:pPr>
      <w:outlineLvl w:val="9"/>
    </w:pPr>
  </w:style>
  <w:style w:type="table" w:styleId="TableGrid">
    <w:name w:val="Table Grid"/>
    <w:basedOn w:val="TableNormal"/>
    <w:uiPriority w:val="39"/>
    <w:rsid w:val="00DD4CF5"/>
    <w:pPr>
      <w:spacing w:after="0" w:line="240" w:lineRule="auto"/>
    </w:pPr>
    <w:rPr>
      <w:color w:val="595959" w:themeColor="text1" w:themeTint="A6"/>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FB8"/>
    <w:rPr>
      <w:color w:val="0000FF"/>
      <w:u w:val="single"/>
    </w:rPr>
  </w:style>
  <w:style w:type="character" w:customStyle="1" w:styleId="ListParagraphChar">
    <w:name w:val="List Paragraph Char"/>
    <w:basedOn w:val="DefaultParagraphFont"/>
    <w:link w:val="ListParagraph"/>
    <w:uiPriority w:val="34"/>
    <w:locked/>
    <w:rsid w:val="00346FB8"/>
  </w:style>
  <w:style w:type="paragraph" w:customStyle="1" w:styleId="Default">
    <w:name w:val="Default"/>
    <w:rsid w:val="00346FB8"/>
    <w:pPr>
      <w:autoSpaceDE w:val="0"/>
      <w:autoSpaceDN w:val="0"/>
      <w:adjustRightInd w:val="0"/>
      <w:spacing w:after="0" w:line="240" w:lineRule="auto"/>
    </w:pPr>
    <w:rPr>
      <w:rFonts w:ascii="Calibri" w:eastAsiaTheme="minorHAnsi" w:hAnsi="Calibri" w:cs="Calibri"/>
      <w:color w:val="000000"/>
      <w:sz w:val="24"/>
      <w:szCs w:val="24"/>
      <w14:ligatures w14:val="standardContextual"/>
    </w:rPr>
  </w:style>
  <w:style w:type="character" w:customStyle="1" w:styleId="ui-provider">
    <w:name w:val="ui-provider"/>
    <w:basedOn w:val="DefaultParagraphFont"/>
    <w:rsid w:val="00A2588F"/>
  </w:style>
  <w:style w:type="character" w:styleId="UnresolvedMention">
    <w:name w:val="Unresolved Mention"/>
    <w:basedOn w:val="DefaultParagraphFont"/>
    <w:uiPriority w:val="99"/>
    <w:semiHidden/>
    <w:unhideWhenUsed/>
    <w:rsid w:val="006E4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4371">
      <w:bodyDiv w:val="1"/>
      <w:marLeft w:val="0"/>
      <w:marRight w:val="0"/>
      <w:marTop w:val="0"/>
      <w:marBottom w:val="0"/>
      <w:divBdr>
        <w:top w:val="none" w:sz="0" w:space="0" w:color="auto"/>
        <w:left w:val="none" w:sz="0" w:space="0" w:color="auto"/>
        <w:bottom w:val="none" w:sz="0" w:space="0" w:color="auto"/>
        <w:right w:val="none" w:sz="0" w:space="0" w:color="auto"/>
      </w:divBdr>
    </w:div>
    <w:div w:id="132216072">
      <w:bodyDiv w:val="1"/>
      <w:marLeft w:val="0"/>
      <w:marRight w:val="0"/>
      <w:marTop w:val="0"/>
      <w:marBottom w:val="0"/>
      <w:divBdr>
        <w:top w:val="none" w:sz="0" w:space="0" w:color="auto"/>
        <w:left w:val="none" w:sz="0" w:space="0" w:color="auto"/>
        <w:bottom w:val="none" w:sz="0" w:space="0" w:color="auto"/>
        <w:right w:val="none" w:sz="0" w:space="0" w:color="auto"/>
      </w:divBdr>
    </w:div>
    <w:div w:id="141237323">
      <w:bodyDiv w:val="1"/>
      <w:marLeft w:val="0"/>
      <w:marRight w:val="0"/>
      <w:marTop w:val="0"/>
      <w:marBottom w:val="0"/>
      <w:divBdr>
        <w:top w:val="none" w:sz="0" w:space="0" w:color="auto"/>
        <w:left w:val="none" w:sz="0" w:space="0" w:color="auto"/>
        <w:bottom w:val="none" w:sz="0" w:space="0" w:color="auto"/>
        <w:right w:val="none" w:sz="0" w:space="0" w:color="auto"/>
      </w:divBdr>
    </w:div>
    <w:div w:id="155462873">
      <w:bodyDiv w:val="1"/>
      <w:marLeft w:val="0"/>
      <w:marRight w:val="0"/>
      <w:marTop w:val="0"/>
      <w:marBottom w:val="0"/>
      <w:divBdr>
        <w:top w:val="none" w:sz="0" w:space="0" w:color="auto"/>
        <w:left w:val="none" w:sz="0" w:space="0" w:color="auto"/>
        <w:bottom w:val="none" w:sz="0" w:space="0" w:color="auto"/>
        <w:right w:val="none" w:sz="0" w:space="0" w:color="auto"/>
      </w:divBdr>
    </w:div>
    <w:div w:id="206261492">
      <w:bodyDiv w:val="1"/>
      <w:marLeft w:val="0"/>
      <w:marRight w:val="0"/>
      <w:marTop w:val="0"/>
      <w:marBottom w:val="0"/>
      <w:divBdr>
        <w:top w:val="none" w:sz="0" w:space="0" w:color="auto"/>
        <w:left w:val="none" w:sz="0" w:space="0" w:color="auto"/>
        <w:bottom w:val="none" w:sz="0" w:space="0" w:color="auto"/>
        <w:right w:val="none" w:sz="0" w:space="0" w:color="auto"/>
      </w:divBdr>
    </w:div>
    <w:div w:id="216478505">
      <w:bodyDiv w:val="1"/>
      <w:marLeft w:val="0"/>
      <w:marRight w:val="0"/>
      <w:marTop w:val="0"/>
      <w:marBottom w:val="0"/>
      <w:divBdr>
        <w:top w:val="none" w:sz="0" w:space="0" w:color="auto"/>
        <w:left w:val="none" w:sz="0" w:space="0" w:color="auto"/>
        <w:bottom w:val="none" w:sz="0" w:space="0" w:color="auto"/>
        <w:right w:val="none" w:sz="0" w:space="0" w:color="auto"/>
      </w:divBdr>
    </w:div>
    <w:div w:id="655574196">
      <w:bodyDiv w:val="1"/>
      <w:marLeft w:val="0"/>
      <w:marRight w:val="0"/>
      <w:marTop w:val="0"/>
      <w:marBottom w:val="0"/>
      <w:divBdr>
        <w:top w:val="none" w:sz="0" w:space="0" w:color="auto"/>
        <w:left w:val="none" w:sz="0" w:space="0" w:color="auto"/>
        <w:bottom w:val="none" w:sz="0" w:space="0" w:color="auto"/>
        <w:right w:val="none" w:sz="0" w:space="0" w:color="auto"/>
      </w:divBdr>
    </w:div>
    <w:div w:id="759104130">
      <w:bodyDiv w:val="1"/>
      <w:marLeft w:val="0"/>
      <w:marRight w:val="0"/>
      <w:marTop w:val="0"/>
      <w:marBottom w:val="0"/>
      <w:divBdr>
        <w:top w:val="none" w:sz="0" w:space="0" w:color="auto"/>
        <w:left w:val="none" w:sz="0" w:space="0" w:color="auto"/>
        <w:bottom w:val="none" w:sz="0" w:space="0" w:color="auto"/>
        <w:right w:val="none" w:sz="0" w:space="0" w:color="auto"/>
      </w:divBdr>
    </w:div>
    <w:div w:id="895354169">
      <w:bodyDiv w:val="1"/>
      <w:marLeft w:val="0"/>
      <w:marRight w:val="0"/>
      <w:marTop w:val="0"/>
      <w:marBottom w:val="0"/>
      <w:divBdr>
        <w:top w:val="none" w:sz="0" w:space="0" w:color="auto"/>
        <w:left w:val="none" w:sz="0" w:space="0" w:color="auto"/>
        <w:bottom w:val="none" w:sz="0" w:space="0" w:color="auto"/>
        <w:right w:val="none" w:sz="0" w:space="0" w:color="auto"/>
      </w:divBdr>
    </w:div>
    <w:div w:id="1207715360">
      <w:bodyDiv w:val="1"/>
      <w:marLeft w:val="0"/>
      <w:marRight w:val="0"/>
      <w:marTop w:val="0"/>
      <w:marBottom w:val="0"/>
      <w:divBdr>
        <w:top w:val="none" w:sz="0" w:space="0" w:color="auto"/>
        <w:left w:val="none" w:sz="0" w:space="0" w:color="auto"/>
        <w:bottom w:val="none" w:sz="0" w:space="0" w:color="auto"/>
        <w:right w:val="none" w:sz="0" w:space="0" w:color="auto"/>
      </w:divBdr>
    </w:div>
    <w:div w:id="1458601832">
      <w:bodyDiv w:val="1"/>
      <w:marLeft w:val="0"/>
      <w:marRight w:val="0"/>
      <w:marTop w:val="0"/>
      <w:marBottom w:val="0"/>
      <w:divBdr>
        <w:top w:val="none" w:sz="0" w:space="0" w:color="auto"/>
        <w:left w:val="none" w:sz="0" w:space="0" w:color="auto"/>
        <w:bottom w:val="none" w:sz="0" w:space="0" w:color="auto"/>
        <w:right w:val="none" w:sz="0" w:space="0" w:color="auto"/>
      </w:divBdr>
    </w:div>
    <w:div w:id="1585800421">
      <w:bodyDiv w:val="1"/>
      <w:marLeft w:val="0"/>
      <w:marRight w:val="0"/>
      <w:marTop w:val="0"/>
      <w:marBottom w:val="0"/>
      <w:divBdr>
        <w:top w:val="none" w:sz="0" w:space="0" w:color="auto"/>
        <w:left w:val="none" w:sz="0" w:space="0" w:color="auto"/>
        <w:bottom w:val="none" w:sz="0" w:space="0" w:color="auto"/>
        <w:right w:val="none" w:sz="0" w:space="0" w:color="auto"/>
      </w:divBdr>
    </w:div>
    <w:div w:id="1590385944">
      <w:bodyDiv w:val="1"/>
      <w:marLeft w:val="0"/>
      <w:marRight w:val="0"/>
      <w:marTop w:val="0"/>
      <w:marBottom w:val="0"/>
      <w:divBdr>
        <w:top w:val="none" w:sz="0" w:space="0" w:color="auto"/>
        <w:left w:val="none" w:sz="0" w:space="0" w:color="auto"/>
        <w:bottom w:val="none" w:sz="0" w:space="0" w:color="auto"/>
        <w:right w:val="none" w:sz="0" w:space="0" w:color="auto"/>
      </w:divBdr>
    </w:div>
    <w:div w:id="1596325996">
      <w:bodyDiv w:val="1"/>
      <w:marLeft w:val="0"/>
      <w:marRight w:val="0"/>
      <w:marTop w:val="0"/>
      <w:marBottom w:val="0"/>
      <w:divBdr>
        <w:top w:val="none" w:sz="0" w:space="0" w:color="auto"/>
        <w:left w:val="none" w:sz="0" w:space="0" w:color="auto"/>
        <w:bottom w:val="none" w:sz="0" w:space="0" w:color="auto"/>
        <w:right w:val="none" w:sz="0" w:space="0" w:color="auto"/>
      </w:divBdr>
    </w:div>
    <w:div w:id="1796093865">
      <w:bodyDiv w:val="1"/>
      <w:marLeft w:val="0"/>
      <w:marRight w:val="0"/>
      <w:marTop w:val="0"/>
      <w:marBottom w:val="0"/>
      <w:divBdr>
        <w:top w:val="none" w:sz="0" w:space="0" w:color="auto"/>
        <w:left w:val="none" w:sz="0" w:space="0" w:color="auto"/>
        <w:bottom w:val="none" w:sz="0" w:space="0" w:color="auto"/>
        <w:right w:val="none" w:sz="0" w:space="0" w:color="auto"/>
      </w:divBdr>
    </w:div>
    <w:div w:id="1884095095">
      <w:bodyDiv w:val="1"/>
      <w:marLeft w:val="0"/>
      <w:marRight w:val="0"/>
      <w:marTop w:val="0"/>
      <w:marBottom w:val="0"/>
      <w:divBdr>
        <w:top w:val="none" w:sz="0" w:space="0" w:color="auto"/>
        <w:left w:val="none" w:sz="0" w:space="0" w:color="auto"/>
        <w:bottom w:val="none" w:sz="0" w:space="0" w:color="auto"/>
        <w:right w:val="none" w:sz="0" w:space="0" w:color="auto"/>
      </w:divBdr>
    </w:div>
    <w:div w:id="1966815450">
      <w:bodyDiv w:val="1"/>
      <w:marLeft w:val="0"/>
      <w:marRight w:val="0"/>
      <w:marTop w:val="0"/>
      <w:marBottom w:val="0"/>
      <w:divBdr>
        <w:top w:val="none" w:sz="0" w:space="0" w:color="auto"/>
        <w:left w:val="none" w:sz="0" w:space="0" w:color="auto"/>
        <w:bottom w:val="none" w:sz="0" w:space="0" w:color="auto"/>
        <w:right w:val="none" w:sz="0" w:space="0" w:color="auto"/>
      </w:divBdr>
    </w:div>
    <w:div w:id="1985622123">
      <w:bodyDiv w:val="1"/>
      <w:marLeft w:val="0"/>
      <w:marRight w:val="0"/>
      <w:marTop w:val="0"/>
      <w:marBottom w:val="0"/>
      <w:divBdr>
        <w:top w:val="none" w:sz="0" w:space="0" w:color="auto"/>
        <w:left w:val="none" w:sz="0" w:space="0" w:color="auto"/>
        <w:bottom w:val="none" w:sz="0" w:space="0" w:color="auto"/>
        <w:right w:val="none" w:sz="0" w:space="0" w:color="auto"/>
      </w:divBdr>
    </w:div>
    <w:div w:id="213794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loucestershirechildcare.proceduresonline.com/p_private_fos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dc966fa-4138-4b9c-b0e4-0cfe5a192035"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MYPJCQZ4RSCX-209147545-240</_dlc_DocId>
    <_dlc_DocIdUrl xmlns="d290fb42-85b6-45de-8ffb-8be0d8405bbf">
      <Url>https://gloucestershirecc.sharepoint.com/sites/MPGGPolicyGovernanceGroup/_layouts/15/DocIdRedir.aspx?ID=MYPJCQZ4RSCX-209147545-240</Url>
      <Description>MYPJCQZ4RSCX-209147545-240</Description>
    </_dlc_DocIdUrl>
  </documentManagement>
</p:properties>
</file>

<file path=customXml/itemProps1.xml><?xml version="1.0" encoding="utf-8"?>
<ds:datastoreItem xmlns:ds="http://schemas.openxmlformats.org/officeDocument/2006/customXml" ds:itemID="{26E5A320-254D-4661-8DB5-4D01B0B61156}">
  <ds:schemaRefs>
    <ds:schemaRef ds:uri="Microsoft.SharePoint.Taxonomy.ContentTypeSync"/>
  </ds:schemaRefs>
</ds:datastoreItem>
</file>

<file path=customXml/itemProps2.xml><?xml version="1.0" encoding="utf-8"?>
<ds:datastoreItem xmlns:ds="http://schemas.openxmlformats.org/officeDocument/2006/customXml" ds:itemID="{52D5AF52-EF36-4832-947B-6D76872C109B}">
  <ds:schemaRefs>
    <ds:schemaRef ds:uri="http://schemas.microsoft.com/sharepoint/v3/contenttype/forms"/>
  </ds:schemaRefs>
</ds:datastoreItem>
</file>

<file path=customXml/itemProps3.xml><?xml version="1.0" encoding="utf-8"?>
<ds:datastoreItem xmlns:ds="http://schemas.openxmlformats.org/officeDocument/2006/customXml" ds:itemID="{6F2E5BCD-A694-44E3-9FF0-97C632E20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C5DBA-FC6A-4178-8607-8A69A44B0772}">
  <ds:schemaRefs>
    <ds:schemaRef ds:uri="http://schemas.microsoft.com/sharepoint/events"/>
  </ds:schemaRefs>
</ds:datastoreItem>
</file>

<file path=customXml/itemProps5.xml><?xml version="1.0" encoding="utf-8"?>
<ds:datastoreItem xmlns:ds="http://schemas.openxmlformats.org/officeDocument/2006/customXml" ds:itemID="{230DA35B-0C6F-485B-90CF-BCACF5BF79D6}">
  <ds:schemaRefs>
    <ds:schemaRef ds:uri="http://schemas.microsoft.com/office/2006/metadata/properties"/>
    <ds:schemaRef ds:uri="http://schemas.microsoft.com/office/infopath/2007/PartnerControls"/>
    <ds:schemaRef ds:uri="d290fb42-85b6-45de-8ffb-8be0d8405bb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KELLAWAY, Toby</dc:creator>
  <cp:keywords/>
  <dc:description/>
  <cp:lastModifiedBy>KELLAWAY, Toby</cp:lastModifiedBy>
  <cp:revision>5</cp:revision>
  <cp:lastPrinted>2024-04-08T15:12:00Z</cp:lastPrinted>
  <dcterms:created xsi:type="dcterms:W3CDTF">2025-07-21T17:36:00Z</dcterms:created>
  <dcterms:modified xsi:type="dcterms:W3CDTF">2025-09-10T12:39:00Z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70b0f494-12ac-44a6-b8f7-e45d02772887</vt:lpwstr>
  </property>
</Properties>
</file>