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A9" w:rsidRDefault="009C27D6" w:rsidP="009C27D6">
      <w:pPr>
        <w:jc w:val="center"/>
      </w:pPr>
      <w:bookmarkStart w:id="0" w:name="_GoBack"/>
      <w:bookmarkEnd w:id="0"/>
      <w:r>
        <w:rPr>
          <w:noProof/>
          <w:lang w:eastAsia="en-GB"/>
        </w:rPr>
        <w:drawing>
          <wp:inline distT="0" distB="0" distL="0" distR="0">
            <wp:extent cx="2867025" cy="1871345"/>
            <wp:effectExtent l="0" t="0" r="9525" b="0"/>
            <wp:docPr id="3" name="Picture 3" descr="C:\Users\HiKing\AppData\Local\Microsoft\Windows\INetCache\Content.MSO\4C531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King\AppData\Local\Microsoft\Windows\INetCache\Content.MSO\4C53125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419" cy="1900974"/>
                    </a:xfrm>
                    <a:prstGeom prst="rect">
                      <a:avLst/>
                    </a:prstGeom>
                    <a:noFill/>
                    <a:ln>
                      <a:noFill/>
                    </a:ln>
                  </pic:spPr>
                </pic:pic>
              </a:graphicData>
            </a:graphic>
          </wp:inline>
        </w:drawing>
      </w:r>
    </w:p>
    <w:p w:rsidR="00672447" w:rsidRPr="00672447" w:rsidRDefault="00A10508" w:rsidP="00477984">
      <w:pPr>
        <w:pStyle w:val="NoSpacing"/>
        <w:jc w:val="center"/>
        <w:rPr>
          <w:b/>
          <w:sz w:val="28"/>
          <w:szCs w:val="28"/>
        </w:rPr>
      </w:pPr>
      <w:r w:rsidRPr="00FE0A1C">
        <w:rPr>
          <w:b/>
          <w:sz w:val="28"/>
          <w:szCs w:val="28"/>
        </w:rPr>
        <w:t>ONE MINUTE</w:t>
      </w:r>
      <w:r w:rsidR="00672447" w:rsidRPr="00FE0A1C">
        <w:rPr>
          <w:b/>
          <w:sz w:val="28"/>
          <w:szCs w:val="28"/>
        </w:rPr>
        <w:t xml:space="preserve"> GUIDE</w:t>
      </w:r>
      <w:r w:rsidR="00477984">
        <w:rPr>
          <w:b/>
          <w:sz w:val="28"/>
          <w:szCs w:val="28"/>
        </w:rPr>
        <w:t xml:space="preserve">: </w:t>
      </w:r>
      <w:r w:rsidR="00477984" w:rsidRPr="00477984">
        <w:rPr>
          <w:b/>
          <w:color w:val="7030A0"/>
          <w:sz w:val="28"/>
          <w:szCs w:val="28"/>
        </w:rPr>
        <w:t xml:space="preserve">SUPERVISION </w:t>
      </w:r>
    </w:p>
    <w:p w:rsidR="00672447" w:rsidRPr="00C84252" w:rsidRDefault="00672447" w:rsidP="009C27D6">
      <w:pPr>
        <w:pStyle w:val="NoSpacing"/>
        <w:jc w:val="center"/>
        <w:rPr>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rsidRPr="009C27D6" w:rsidTr="009C27D6">
        <w:tc>
          <w:tcPr>
            <w:tcW w:w="8996" w:type="dxa"/>
            <w:shd w:val="clear" w:color="auto" w:fill="000099"/>
          </w:tcPr>
          <w:p w:rsidR="0031319C" w:rsidRPr="00C84252" w:rsidRDefault="009C27D6" w:rsidP="009C27D6">
            <w:pPr>
              <w:jc w:val="center"/>
              <w:rPr>
                <w:b/>
                <w:sz w:val="28"/>
                <w:szCs w:val="28"/>
              </w:rPr>
            </w:pPr>
            <w:r w:rsidRPr="00C84252">
              <w:rPr>
                <w:b/>
                <w:sz w:val="28"/>
                <w:szCs w:val="28"/>
              </w:rPr>
              <w:t>What is it?</w:t>
            </w:r>
          </w:p>
        </w:tc>
      </w:tr>
      <w:tr w:rsidR="00D204FA" w:rsidRPr="00084A86" w:rsidTr="00D115A0">
        <w:tc>
          <w:tcPr>
            <w:tcW w:w="8996" w:type="dxa"/>
            <w:shd w:val="clear" w:color="auto" w:fill="auto"/>
          </w:tcPr>
          <w:p w:rsidR="00A737A6" w:rsidRPr="00A737A6" w:rsidRDefault="00A737A6" w:rsidP="00A737A6">
            <w:pPr>
              <w:jc w:val="both"/>
              <w:rPr>
                <w:rFonts w:eastAsia="Calibri" w:cstheme="minorHAnsi"/>
                <w:color w:val="000000" w:themeColor="text1"/>
              </w:rPr>
            </w:pPr>
            <w:r w:rsidRPr="00A737A6">
              <w:rPr>
                <w:rFonts w:eastAsia="Calibri" w:cstheme="minorHAnsi"/>
                <w:color w:val="000000" w:themeColor="text1"/>
              </w:rPr>
              <w:t>Supervision is a fundamental part of effective social work practice; it enables reflective practice to occur and ensures that evidence based practice is followed. Supervision is an ongoing process that</w:t>
            </w:r>
            <w:r w:rsidRPr="00A737A6">
              <w:rPr>
                <w:rFonts w:cstheme="minorHAnsi"/>
                <w:color w:val="000000" w:themeColor="text1"/>
              </w:rPr>
              <w:t xml:space="preserve"> </w:t>
            </w:r>
            <w:r w:rsidRPr="00A737A6">
              <w:rPr>
                <w:rFonts w:eastAsia="Calibri" w:cstheme="minorHAnsi"/>
                <w:color w:val="000000" w:themeColor="text1"/>
              </w:rPr>
              <w:t xml:space="preserve">provides the opportunity for workers to think, explore and confront issues that are pertinent to their ability to perform their role to the expected standard. It is also a mutually beneficial exchange which allows supervisors and supervisees to explore what, why and how work is undertaken and managed within the overarching framework of Northamptonshire Children’s Trust’s objectives, values and priorities - particularly keeping children, young people and families at the heart of all we do – in every action we take and every decision we make.  </w:t>
            </w:r>
          </w:p>
          <w:p w:rsidR="00A737A6" w:rsidRDefault="00A737A6" w:rsidP="00264438"/>
          <w:p w:rsidR="00D115A0" w:rsidRPr="00A737A6" w:rsidRDefault="00264438" w:rsidP="006912A5">
            <w:r>
              <w:t xml:space="preserve">Informal supervision often also happens in the most effective teams as staff seek advice and </w:t>
            </w:r>
            <w:r w:rsidR="006912A5">
              <w:t xml:space="preserve">guidance </w:t>
            </w:r>
            <w:r>
              <w:t>in situations that they deal with on a daily basis. This is good practice but should NOT replace a formal supervision session.</w:t>
            </w:r>
          </w:p>
        </w:tc>
      </w:tr>
    </w:tbl>
    <w:p w:rsidR="0031319C" w:rsidRDefault="0031319C">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C84252" w:rsidTr="000B0BC3">
        <w:tc>
          <w:tcPr>
            <w:tcW w:w="9016" w:type="dxa"/>
            <w:shd w:val="clear" w:color="auto" w:fill="000099"/>
          </w:tcPr>
          <w:p w:rsidR="00C84252" w:rsidRDefault="00C84252" w:rsidP="000B0BC3">
            <w:pPr>
              <w:shd w:val="clear" w:color="auto" w:fill="000099"/>
              <w:jc w:val="center"/>
              <w:rPr>
                <w:sz w:val="28"/>
                <w:szCs w:val="28"/>
              </w:rPr>
            </w:pPr>
            <w:r w:rsidRPr="00BF47A7">
              <w:rPr>
                <w:b/>
                <w:color w:val="FFFFFF" w:themeColor="background1"/>
                <w:sz w:val="28"/>
                <w:szCs w:val="28"/>
              </w:rPr>
              <w:t>What are we doing?</w:t>
            </w:r>
          </w:p>
        </w:tc>
      </w:tr>
      <w:tr w:rsidR="00C84252" w:rsidTr="00BF47A7">
        <w:tc>
          <w:tcPr>
            <w:tcW w:w="9016" w:type="dxa"/>
          </w:tcPr>
          <w:p w:rsidR="00477984" w:rsidRDefault="00C84252" w:rsidP="00C84252">
            <w:r>
              <w:t xml:space="preserve">We have developed </w:t>
            </w:r>
            <w:r w:rsidRPr="0091065B">
              <w:rPr>
                <w:rFonts w:cstheme="minorHAnsi"/>
              </w:rPr>
              <w:t xml:space="preserve">the </w:t>
            </w:r>
            <w:hyperlink r:id="rId9" w:history="1">
              <w:r w:rsidR="00604E83" w:rsidRPr="00A737A6">
                <w:rPr>
                  <w:rStyle w:val="Hyperlink"/>
                  <w:rFonts w:eastAsia="Times New Roman" w:cstheme="minorHAnsi"/>
                </w:rPr>
                <w:t>Supervision Policy</w:t>
              </w:r>
            </w:hyperlink>
            <w:r w:rsidR="00604E83">
              <w:rPr>
                <w:rFonts w:ascii="Arial" w:eastAsia="Times New Roman" w:hAnsi="Arial" w:cs="Arial"/>
              </w:rPr>
              <w:t xml:space="preserve"> </w:t>
            </w:r>
            <w:r>
              <w:t>which provide</w:t>
            </w:r>
            <w:r w:rsidR="00316BEF">
              <w:t>s</w:t>
            </w:r>
            <w:r>
              <w:t xml:space="preserve"> a framework for and understanding of the minimum requirements and processes of supervision within any service</w:t>
            </w:r>
            <w:r w:rsidR="00316BEF">
              <w:t xml:space="preserve"> area</w:t>
            </w:r>
            <w:r>
              <w:t>. We provide training which enables staff to develop skills, knowledge and understanding to</w:t>
            </w:r>
            <w:r w:rsidR="00316BEF">
              <w:t xml:space="preserve"> deliver effective supervision</w:t>
            </w:r>
            <w:r>
              <w:t>, with a view to improving outcomes for children, young people and families</w:t>
            </w:r>
            <w:r w:rsidR="003243D9">
              <w:t>.</w:t>
            </w:r>
            <w:r w:rsidR="00477984">
              <w:t xml:space="preserve"> </w:t>
            </w:r>
          </w:p>
          <w:p w:rsidR="00477984" w:rsidRDefault="00477984" w:rsidP="00C84252"/>
          <w:p w:rsidR="003243D9" w:rsidRDefault="00477984" w:rsidP="00C84252">
            <w:r>
              <w:t xml:space="preserve">We have also developed our </w:t>
            </w:r>
            <w:hyperlink r:id="rId10" w:history="1">
              <w:r>
                <w:rPr>
                  <w:rStyle w:val="Hyperlink"/>
                </w:rPr>
                <w:t>Practice Standards</w:t>
              </w:r>
            </w:hyperlink>
            <w:r>
              <w:t xml:space="preserve"> for Practitioners and Managers to guide the way we work to improve outcomes for children and families</w:t>
            </w:r>
          </w:p>
          <w:p w:rsidR="003243D9" w:rsidRDefault="003243D9" w:rsidP="00C84252"/>
          <w:p w:rsidR="00C84252" w:rsidRPr="00477984" w:rsidRDefault="003243D9" w:rsidP="006912A5">
            <w:pPr>
              <w:rPr>
                <w:sz w:val="16"/>
                <w:szCs w:val="16"/>
              </w:rPr>
            </w:pPr>
            <w:r>
              <w:t xml:space="preserve">NCT </w:t>
            </w:r>
            <w:r w:rsidR="00C84252">
              <w:t>encourage</w:t>
            </w:r>
            <w:r>
              <w:t>s</w:t>
            </w:r>
            <w:r w:rsidR="00C84252">
              <w:t xml:space="preserve"> staff to a</w:t>
            </w:r>
            <w:r w:rsidR="006912A5">
              <w:t xml:space="preserve">dopt </w:t>
            </w:r>
            <w:r w:rsidR="00C84252">
              <w:t xml:space="preserve">a </w:t>
            </w:r>
            <w:r w:rsidR="00C84252" w:rsidRPr="003243D9">
              <w:t xml:space="preserve">restorative </w:t>
            </w:r>
            <w:r w:rsidRPr="003243D9">
              <w:t xml:space="preserve">and </w:t>
            </w:r>
            <w:r w:rsidR="00316BEF" w:rsidRPr="003243D9">
              <w:t>reflective approach</w:t>
            </w:r>
            <w:r w:rsidR="00C84252">
              <w:t xml:space="preserve"> to supervision, which </w:t>
            </w:r>
            <w:r w:rsidR="00C84252" w:rsidRPr="0091065B">
              <w:t>recognises benefits for managers and staff.</w:t>
            </w:r>
            <w:r w:rsidR="0091065B" w:rsidRPr="0091065B">
              <w:t xml:space="preserve"> We welcome a creative approach and use a range of tools</w:t>
            </w:r>
            <w:r w:rsidR="0026129E">
              <w:t xml:space="preserve"> which you can access via </w:t>
            </w:r>
            <w:proofErr w:type="spellStart"/>
            <w:r w:rsidR="0026129E">
              <w:t>Ctrl+Click</w:t>
            </w:r>
            <w:proofErr w:type="spellEnd"/>
            <w:r w:rsidR="0026129E">
              <w:t xml:space="preserve"> here</w:t>
            </w:r>
            <w:r w:rsidR="0091065B" w:rsidRPr="0091065B">
              <w:t xml:space="preserve"> </w:t>
            </w:r>
            <w:hyperlink r:id="rId11" w:history="1">
              <w:r w:rsidR="00316BEF" w:rsidRPr="0091065B">
                <w:rPr>
                  <w:rStyle w:val="Hyperlink"/>
                  <w:color w:val="auto"/>
                </w:rPr>
                <w:t>Prompts for reflective practice</w:t>
              </w:r>
            </w:hyperlink>
            <w:r w:rsidR="0091065B" w:rsidRPr="0091065B">
              <w:t xml:space="preserve">, </w:t>
            </w:r>
            <w:hyperlink r:id="rId12" w:history="1">
              <w:r w:rsidR="00316BEF" w:rsidRPr="0091065B">
                <w:rPr>
                  <w:rStyle w:val="Hyperlink"/>
                  <w:color w:val="auto"/>
                </w:rPr>
                <w:t>Systemic Reflective Space</w:t>
              </w:r>
            </w:hyperlink>
            <w:r w:rsidR="0091065B" w:rsidRPr="0091065B">
              <w:t xml:space="preserve">, </w:t>
            </w:r>
            <w:hyperlink r:id="rId13" w:history="1">
              <w:r w:rsidR="00316BEF" w:rsidRPr="0091065B">
                <w:rPr>
                  <w:rStyle w:val="Hyperlink"/>
                  <w:color w:val="auto"/>
                </w:rPr>
                <w:t>decision making hats – for individual or group supervision</w:t>
              </w:r>
            </w:hyperlink>
            <w:r w:rsidR="0091065B" w:rsidRPr="0091065B">
              <w:t xml:space="preserve"> including the Research in Practice </w:t>
            </w:r>
            <w:hyperlink r:id="rId14" w:history="1"/>
            <w:hyperlink r:id="rId15" w:history="1">
              <w:r w:rsidR="00316BEF" w:rsidRPr="0091065B">
                <w:rPr>
                  <w:rStyle w:val="Hyperlink"/>
                  <w:color w:val="auto"/>
                </w:rPr>
                <w:t>Reflective supervision resource pack</w:t>
              </w:r>
            </w:hyperlink>
          </w:p>
        </w:tc>
      </w:tr>
    </w:tbl>
    <w:p w:rsidR="00477984" w:rsidRDefault="00477984">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C84252" w:rsidTr="00BF47A7">
        <w:tc>
          <w:tcPr>
            <w:tcW w:w="9016" w:type="dxa"/>
            <w:shd w:val="clear" w:color="auto" w:fill="000099"/>
          </w:tcPr>
          <w:p w:rsidR="00C84252" w:rsidRDefault="00C84252" w:rsidP="00BF47A7">
            <w:pPr>
              <w:jc w:val="center"/>
              <w:rPr>
                <w:sz w:val="28"/>
                <w:szCs w:val="28"/>
              </w:rPr>
            </w:pPr>
            <w:r w:rsidRPr="00BF47A7">
              <w:rPr>
                <w:b/>
                <w:color w:val="FFFFFF" w:themeColor="background1"/>
                <w:sz w:val="28"/>
                <w:szCs w:val="28"/>
              </w:rPr>
              <w:t>Why are we doing it?</w:t>
            </w:r>
          </w:p>
        </w:tc>
      </w:tr>
      <w:tr w:rsidR="00C84252" w:rsidTr="00BF47A7">
        <w:tc>
          <w:tcPr>
            <w:tcW w:w="9016" w:type="dxa"/>
          </w:tcPr>
          <w:p w:rsidR="00C84252" w:rsidRPr="00A737A6" w:rsidRDefault="00C84252" w:rsidP="006912A5">
            <w:r>
              <w:t>To ensure that performance and prac</w:t>
            </w:r>
            <w:r w:rsidR="006912A5">
              <w:t>tice, including safeguarding, are</w:t>
            </w:r>
            <w:r>
              <w:t xml:space="preserve"> competent, accountable and soundly based in research and practice knowledge. To provide reflective space to analyse work with children, young people and their families as well as specific incidents, assessing risk and need. It also provides an important check and balance on decision making and planning. To </w:t>
            </w:r>
            <w:r>
              <w:lastRenderedPageBreak/>
              <w:t>support professional development needs, including safeguarding practice. To provide reflective space for the staff to discuss and work through the personal impact of their role and responsibilities</w:t>
            </w:r>
            <w:r w:rsidR="006912A5">
              <w:t xml:space="preserve"> and </w:t>
            </w:r>
            <w:r>
              <w:t>address the emotional impact of the work where required.</w:t>
            </w:r>
          </w:p>
        </w:tc>
      </w:tr>
    </w:tbl>
    <w:p w:rsidR="00C84252" w:rsidRPr="00084A86" w:rsidRDefault="00C8425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80"/>
      </w:tblGrid>
      <w:tr w:rsidR="00886CB9" w:rsidTr="00C84252">
        <w:tc>
          <w:tcPr>
            <w:tcW w:w="8980" w:type="dxa"/>
            <w:shd w:val="clear" w:color="auto" w:fill="000099"/>
          </w:tcPr>
          <w:p w:rsidR="00886CB9" w:rsidRPr="00C84252" w:rsidRDefault="00523812" w:rsidP="00342122">
            <w:pPr>
              <w:jc w:val="center"/>
              <w:rPr>
                <w:b/>
                <w:sz w:val="28"/>
                <w:szCs w:val="28"/>
              </w:rPr>
            </w:pPr>
            <w:r w:rsidRPr="00C84252">
              <w:rPr>
                <w:b/>
                <w:sz w:val="28"/>
                <w:szCs w:val="28"/>
              </w:rPr>
              <w:t>Key functions of supervision</w:t>
            </w:r>
            <w:r w:rsidR="00886CB9" w:rsidRPr="00C84252">
              <w:rPr>
                <w:b/>
                <w:sz w:val="28"/>
                <w:szCs w:val="28"/>
              </w:rPr>
              <w:t xml:space="preserve"> </w:t>
            </w:r>
          </w:p>
        </w:tc>
      </w:tr>
      <w:tr w:rsidR="00886CB9" w:rsidTr="00C84252">
        <w:tc>
          <w:tcPr>
            <w:tcW w:w="8980" w:type="dxa"/>
          </w:tcPr>
          <w:p w:rsidR="003243D9" w:rsidRDefault="00523812" w:rsidP="00523812">
            <w:pPr>
              <w:jc w:val="both"/>
            </w:pPr>
            <w:r>
              <w:t xml:space="preserve">Good supervision involves a balance between all these three functions, not always within one session, but certainly over the entire supervision process. </w:t>
            </w:r>
            <w:r w:rsidR="00316BEF">
              <w:t xml:space="preserve"> </w:t>
            </w:r>
          </w:p>
          <w:p w:rsidR="0026129E" w:rsidRDefault="0026129E" w:rsidP="00523812">
            <w:pPr>
              <w:jc w:val="both"/>
            </w:pPr>
          </w:p>
          <w:p w:rsidR="003243D9" w:rsidRPr="00316BEF" w:rsidRDefault="00523812" w:rsidP="00523812">
            <w:pPr>
              <w:jc w:val="both"/>
              <w:rPr>
                <w:u w:val="single"/>
              </w:rPr>
            </w:pPr>
            <w:r w:rsidRPr="00316BEF">
              <w:rPr>
                <w:u w:val="single"/>
              </w:rPr>
              <w:t>Performance Management</w:t>
            </w:r>
            <w:r w:rsidR="003243D9" w:rsidRPr="00316BEF">
              <w:rPr>
                <w:u w:val="single"/>
              </w:rPr>
              <w:t>:</w:t>
            </w:r>
          </w:p>
          <w:p w:rsidR="003243D9" w:rsidRDefault="00523812" w:rsidP="00523812">
            <w:pPr>
              <w:jc w:val="both"/>
            </w:pPr>
            <w:r>
              <w:t>To ensure that performance and practice, including safeguarding, is competent, accountable and soundly based in research and practice knowledge and to ensure that practitioners fu</w:t>
            </w:r>
            <w:r w:rsidR="006912A5">
              <w:t xml:space="preserve">lly understand their roles, </w:t>
            </w:r>
            <w:r>
              <w:t xml:space="preserve">responsibilities and the scope of their professional discretion and authority. </w:t>
            </w:r>
          </w:p>
          <w:p w:rsidR="003243D9" w:rsidRDefault="003243D9" w:rsidP="00523812">
            <w:pPr>
              <w:jc w:val="both"/>
            </w:pPr>
          </w:p>
          <w:p w:rsidR="003243D9" w:rsidRPr="00316BEF" w:rsidRDefault="00523812" w:rsidP="00523812">
            <w:pPr>
              <w:jc w:val="both"/>
              <w:rPr>
                <w:u w:val="single"/>
              </w:rPr>
            </w:pPr>
            <w:r w:rsidRPr="00316BEF">
              <w:rPr>
                <w:u w:val="single"/>
              </w:rPr>
              <w:t>Professional Development</w:t>
            </w:r>
            <w:r w:rsidR="003243D9" w:rsidRPr="00316BEF">
              <w:rPr>
                <w:u w:val="single"/>
              </w:rPr>
              <w:t>:</w:t>
            </w:r>
          </w:p>
          <w:p w:rsidR="003243D9" w:rsidRDefault="00523812" w:rsidP="00523812">
            <w:pPr>
              <w:jc w:val="both"/>
            </w:pPr>
            <w:r>
              <w:t>To ensure that professional development needs, including safeguarding practic</w:t>
            </w:r>
            <w:r w:rsidR="003243D9">
              <w:t>e are considered and supported.</w:t>
            </w:r>
          </w:p>
          <w:p w:rsidR="003243D9" w:rsidRDefault="003243D9" w:rsidP="00523812">
            <w:pPr>
              <w:jc w:val="both"/>
            </w:pPr>
          </w:p>
          <w:p w:rsidR="003243D9" w:rsidRPr="00316BEF" w:rsidRDefault="00523812" w:rsidP="00523812">
            <w:pPr>
              <w:jc w:val="both"/>
              <w:rPr>
                <w:u w:val="single"/>
              </w:rPr>
            </w:pPr>
            <w:r w:rsidRPr="00316BEF">
              <w:rPr>
                <w:u w:val="single"/>
              </w:rPr>
              <w:t>Personal Support</w:t>
            </w:r>
            <w:r w:rsidR="003243D9" w:rsidRPr="00316BEF">
              <w:rPr>
                <w:u w:val="single"/>
              </w:rPr>
              <w:t>:</w:t>
            </w:r>
          </w:p>
          <w:p w:rsidR="00886CB9" w:rsidRPr="00523812" w:rsidRDefault="00523812" w:rsidP="00523812">
            <w:pPr>
              <w:jc w:val="both"/>
              <w:rPr>
                <w:sz w:val="24"/>
                <w:szCs w:val="24"/>
              </w:rPr>
            </w:pPr>
            <w:r>
              <w:t xml:space="preserve">To provide reflective space for the supervisee to discuss and work through the personal impact of their role and responsibilities. This should include support to address the emotional impact of the work where required. This should be confidential, except where there are safeguarding concerns either in relation to a particular case </w:t>
            </w:r>
            <w:r w:rsidR="006912A5">
              <w:t xml:space="preserve">or to the supervisee themselves, </w:t>
            </w:r>
            <w:r>
              <w:t xml:space="preserve">or </w:t>
            </w:r>
            <w:r w:rsidR="00A84302">
              <w:t xml:space="preserve">if </w:t>
            </w:r>
            <w:r>
              <w:t>it impacts on the supervisee’s ability to undertake their work.</w:t>
            </w:r>
          </w:p>
        </w:tc>
      </w:tr>
    </w:tbl>
    <w:p w:rsidR="00886CB9" w:rsidRDefault="00886CB9">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886CB9" w:rsidTr="00C84252">
        <w:tc>
          <w:tcPr>
            <w:tcW w:w="9016" w:type="dxa"/>
            <w:shd w:val="clear" w:color="auto" w:fill="000099"/>
          </w:tcPr>
          <w:p w:rsidR="00886CB9" w:rsidRPr="00B0774C" w:rsidRDefault="00523812" w:rsidP="00342122">
            <w:pPr>
              <w:jc w:val="center"/>
              <w:rPr>
                <w:b/>
                <w:sz w:val="28"/>
                <w:szCs w:val="28"/>
              </w:rPr>
            </w:pPr>
            <w:r>
              <w:rPr>
                <w:b/>
                <w:sz w:val="28"/>
                <w:szCs w:val="28"/>
              </w:rPr>
              <w:t>Common Principles</w:t>
            </w:r>
          </w:p>
        </w:tc>
      </w:tr>
      <w:tr w:rsidR="00886CB9" w:rsidTr="00C84252">
        <w:tc>
          <w:tcPr>
            <w:tcW w:w="9016" w:type="dxa"/>
          </w:tcPr>
          <w:p w:rsidR="003243D9" w:rsidRDefault="00523812" w:rsidP="00523812">
            <w:r>
              <w:t>All supervision should:</w:t>
            </w:r>
          </w:p>
          <w:p w:rsidR="003243D9" w:rsidRDefault="00523812" w:rsidP="003243D9">
            <w:pPr>
              <w:pStyle w:val="ListParagraph"/>
              <w:numPr>
                <w:ilvl w:val="0"/>
                <w:numId w:val="9"/>
              </w:numPr>
            </w:pPr>
            <w:r>
              <w:t xml:space="preserve">Involve a </w:t>
            </w:r>
            <w:r w:rsidR="003243D9">
              <w:t>two-way</w:t>
            </w:r>
            <w:r>
              <w:t xml:space="preserve"> relationship between supervisor and supervisee</w:t>
            </w:r>
          </w:p>
          <w:p w:rsidR="003243D9" w:rsidRDefault="00523812" w:rsidP="003243D9">
            <w:pPr>
              <w:pStyle w:val="ListParagraph"/>
              <w:numPr>
                <w:ilvl w:val="0"/>
                <w:numId w:val="9"/>
              </w:numPr>
            </w:pPr>
            <w:r>
              <w:t xml:space="preserve">Ensure accountability for role, responsibilities and work undertaken </w:t>
            </w:r>
          </w:p>
          <w:p w:rsidR="003243D9" w:rsidRDefault="00523812" w:rsidP="003243D9">
            <w:pPr>
              <w:pStyle w:val="ListParagraph"/>
              <w:numPr>
                <w:ilvl w:val="0"/>
                <w:numId w:val="9"/>
              </w:numPr>
            </w:pPr>
            <w:r>
              <w:t xml:space="preserve">Be based on the principle of high support and high challenge </w:t>
            </w:r>
          </w:p>
          <w:p w:rsidR="003243D9" w:rsidRDefault="00523812" w:rsidP="003243D9">
            <w:pPr>
              <w:pStyle w:val="ListParagraph"/>
              <w:numPr>
                <w:ilvl w:val="0"/>
                <w:numId w:val="9"/>
              </w:numPr>
            </w:pPr>
            <w:r>
              <w:t xml:space="preserve">Be open and honest </w:t>
            </w:r>
          </w:p>
          <w:p w:rsidR="003243D9" w:rsidRDefault="00523812" w:rsidP="003243D9">
            <w:pPr>
              <w:pStyle w:val="ListParagraph"/>
              <w:numPr>
                <w:ilvl w:val="0"/>
                <w:numId w:val="9"/>
              </w:numPr>
            </w:pPr>
            <w:r>
              <w:t xml:space="preserve">Be restorative in nature </w:t>
            </w:r>
          </w:p>
          <w:p w:rsidR="003243D9" w:rsidRDefault="00523812" w:rsidP="003243D9">
            <w:pPr>
              <w:pStyle w:val="ListParagraph"/>
              <w:numPr>
                <w:ilvl w:val="0"/>
                <w:numId w:val="9"/>
              </w:numPr>
            </w:pPr>
            <w:r>
              <w:t xml:space="preserve">Provide a balance of work and personal support </w:t>
            </w:r>
          </w:p>
          <w:p w:rsidR="003243D9" w:rsidRDefault="00523812" w:rsidP="003243D9">
            <w:pPr>
              <w:pStyle w:val="ListParagraph"/>
              <w:numPr>
                <w:ilvl w:val="0"/>
                <w:numId w:val="9"/>
              </w:numPr>
            </w:pPr>
            <w:r>
              <w:t xml:space="preserve">Be recorded (and shared between supervisor and supervisee) Be structured within an agreed supervision contract </w:t>
            </w:r>
          </w:p>
          <w:p w:rsidR="00523812" w:rsidRDefault="00523812" w:rsidP="003243D9">
            <w:pPr>
              <w:pStyle w:val="ListParagraph"/>
              <w:numPr>
                <w:ilvl w:val="0"/>
                <w:numId w:val="9"/>
              </w:numPr>
            </w:pPr>
            <w:r>
              <w:t>Be regular</w:t>
            </w:r>
          </w:p>
          <w:p w:rsidR="00886CB9" w:rsidRPr="00523812" w:rsidRDefault="00886CB9" w:rsidP="00523812">
            <w:pPr>
              <w:jc w:val="both"/>
              <w:rPr>
                <w:sz w:val="24"/>
                <w:szCs w:val="24"/>
              </w:rPr>
            </w:pPr>
            <w:r w:rsidRPr="00523812">
              <w:rPr>
                <w:b/>
                <w:sz w:val="28"/>
                <w:szCs w:val="28"/>
              </w:rPr>
              <w:t xml:space="preserve"> </w:t>
            </w:r>
          </w:p>
        </w:tc>
      </w:tr>
    </w:tbl>
    <w:p w:rsidR="00886CB9" w:rsidRPr="00A10508" w:rsidRDefault="00886CB9">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B0774C" w:rsidTr="00C84252">
        <w:tc>
          <w:tcPr>
            <w:tcW w:w="9016" w:type="dxa"/>
            <w:shd w:val="clear" w:color="auto" w:fill="000099"/>
          </w:tcPr>
          <w:p w:rsidR="00B0774C" w:rsidRPr="00B0774C" w:rsidRDefault="00604E83" w:rsidP="00342122">
            <w:pPr>
              <w:jc w:val="center"/>
              <w:rPr>
                <w:b/>
                <w:sz w:val="28"/>
                <w:szCs w:val="28"/>
              </w:rPr>
            </w:pPr>
            <w:r>
              <w:rPr>
                <w:b/>
                <w:sz w:val="28"/>
                <w:szCs w:val="28"/>
              </w:rPr>
              <w:t xml:space="preserve">More Resources and Information </w:t>
            </w:r>
          </w:p>
        </w:tc>
      </w:tr>
      <w:tr w:rsidR="00B0774C" w:rsidTr="00C84252">
        <w:tc>
          <w:tcPr>
            <w:tcW w:w="9016" w:type="dxa"/>
          </w:tcPr>
          <w:p w:rsidR="003243D9" w:rsidRDefault="003243D9" w:rsidP="00604E83"/>
          <w:p w:rsidR="00604E83" w:rsidRDefault="00604E83" w:rsidP="00604E83">
            <w:r>
              <w:t xml:space="preserve">Click on the </w:t>
            </w:r>
            <w:r w:rsidRPr="00604E83">
              <w:rPr>
                <w:b/>
              </w:rPr>
              <w:t>‘Learning Hub’</w:t>
            </w:r>
            <w:r>
              <w:t xml:space="preserve"> on the NCT Intranet to access our Practice Model, Good Practice Examples, Training and Continuous Professional Development </w:t>
            </w:r>
          </w:p>
          <w:p w:rsidR="00604E83" w:rsidRPr="00604E83" w:rsidRDefault="00604E83" w:rsidP="00604E83"/>
        </w:tc>
      </w:tr>
    </w:tbl>
    <w:p w:rsidR="00EC021B" w:rsidRDefault="00EC021B">
      <w:pPr>
        <w:rPr>
          <w:sz w:val="24"/>
          <w:szCs w:val="24"/>
        </w:rPr>
      </w:pPr>
    </w:p>
    <w:sectPr w:rsidR="00EC021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D6" w:rsidRDefault="009C27D6" w:rsidP="009C27D6">
      <w:pPr>
        <w:spacing w:after="0" w:line="240" w:lineRule="auto"/>
      </w:pPr>
      <w:r>
        <w:separator/>
      </w:r>
    </w:p>
  </w:endnote>
  <w:endnote w:type="continuationSeparator" w:id="0">
    <w:p w:rsidR="009C27D6" w:rsidRDefault="009C27D6" w:rsidP="009C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D6" w:rsidRDefault="009C27D6" w:rsidP="009C27D6">
      <w:pPr>
        <w:spacing w:after="0" w:line="240" w:lineRule="auto"/>
      </w:pPr>
      <w:r>
        <w:separator/>
      </w:r>
    </w:p>
  </w:footnote>
  <w:footnote w:type="continuationSeparator" w:id="0">
    <w:p w:rsidR="009C27D6" w:rsidRDefault="009C27D6" w:rsidP="009C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D6" w:rsidRDefault="009C27D6" w:rsidP="009C27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42460"/>
    <w:multiLevelType w:val="hybridMultilevel"/>
    <w:tmpl w:val="4CAE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66A37"/>
    <w:multiLevelType w:val="multilevel"/>
    <w:tmpl w:val="1A4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21E46"/>
    <w:multiLevelType w:val="hybridMultilevel"/>
    <w:tmpl w:val="4F7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243B"/>
    <w:multiLevelType w:val="hybridMultilevel"/>
    <w:tmpl w:val="231A0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443F2A"/>
    <w:multiLevelType w:val="hybridMultilevel"/>
    <w:tmpl w:val="BA3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27DBD"/>
    <w:multiLevelType w:val="hybridMultilevel"/>
    <w:tmpl w:val="3F807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804757"/>
    <w:multiLevelType w:val="hybridMultilevel"/>
    <w:tmpl w:val="443E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1"/>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84A86"/>
    <w:rsid w:val="000B0BC3"/>
    <w:rsid w:val="001D6CC1"/>
    <w:rsid w:val="0026129E"/>
    <w:rsid w:val="00264438"/>
    <w:rsid w:val="0031319C"/>
    <w:rsid w:val="00316BEF"/>
    <w:rsid w:val="003243D9"/>
    <w:rsid w:val="00342122"/>
    <w:rsid w:val="003C2DA1"/>
    <w:rsid w:val="003D1385"/>
    <w:rsid w:val="003D330D"/>
    <w:rsid w:val="003E6590"/>
    <w:rsid w:val="00453BFB"/>
    <w:rsid w:val="00477984"/>
    <w:rsid w:val="004B7573"/>
    <w:rsid w:val="00523812"/>
    <w:rsid w:val="00604E83"/>
    <w:rsid w:val="00660990"/>
    <w:rsid w:val="00672447"/>
    <w:rsid w:val="00674385"/>
    <w:rsid w:val="006912A5"/>
    <w:rsid w:val="0069397E"/>
    <w:rsid w:val="006C1847"/>
    <w:rsid w:val="006D708E"/>
    <w:rsid w:val="007A33B4"/>
    <w:rsid w:val="00886CB9"/>
    <w:rsid w:val="008B285D"/>
    <w:rsid w:val="00900DC6"/>
    <w:rsid w:val="0091065B"/>
    <w:rsid w:val="00947767"/>
    <w:rsid w:val="00990DB9"/>
    <w:rsid w:val="009C27D6"/>
    <w:rsid w:val="009F05AD"/>
    <w:rsid w:val="00A10508"/>
    <w:rsid w:val="00A46FF5"/>
    <w:rsid w:val="00A63D35"/>
    <w:rsid w:val="00A737A6"/>
    <w:rsid w:val="00A84302"/>
    <w:rsid w:val="00AD7D55"/>
    <w:rsid w:val="00B0774C"/>
    <w:rsid w:val="00BC7EAB"/>
    <w:rsid w:val="00BF47A7"/>
    <w:rsid w:val="00C03D38"/>
    <w:rsid w:val="00C84252"/>
    <w:rsid w:val="00C95495"/>
    <w:rsid w:val="00CB541A"/>
    <w:rsid w:val="00CF0169"/>
    <w:rsid w:val="00D0250F"/>
    <w:rsid w:val="00D115A0"/>
    <w:rsid w:val="00D204FA"/>
    <w:rsid w:val="00DE6C57"/>
    <w:rsid w:val="00EA49FF"/>
    <w:rsid w:val="00EC021B"/>
    <w:rsid w:val="00EF067C"/>
    <w:rsid w:val="00F9141A"/>
    <w:rsid w:val="00FE0A1C"/>
    <w:rsid w:val="00FE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EA49FF"/>
    <w:rPr>
      <w:sz w:val="16"/>
      <w:szCs w:val="16"/>
    </w:rPr>
  </w:style>
  <w:style w:type="paragraph" w:styleId="CommentText">
    <w:name w:val="annotation text"/>
    <w:basedOn w:val="Normal"/>
    <w:link w:val="CommentTextChar"/>
    <w:uiPriority w:val="99"/>
    <w:semiHidden/>
    <w:unhideWhenUsed/>
    <w:rsid w:val="00EA49FF"/>
    <w:pPr>
      <w:spacing w:line="240" w:lineRule="auto"/>
    </w:pPr>
    <w:rPr>
      <w:sz w:val="20"/>
      <w:szCs w:val="20"/>
    </w:rPr>
  </w:style>
  <w:style w:type="character" w:customStyle="1" w:styleId="CommentTextChar">
    <w:name w:val="Comment Text Char"/>
    <w:basedOn w:val="DefaultParagraphFont"/>
    <w:link w:val="CommentText"/>
    <w:uiPriority w:val="99"/>
    <w:semiHidden/>
    <w:rsid w:val="00EA49FF"/>
    <w:rPr>
      <w:sz w:val="20"/>
      <w:szCs w:val="20"/>
    </w:rPr>
  </w:style>
  <w:style w:type="paragraph" w:styleId="CommentSubject">
    <w:name w:val="annotation subject"/>
    <w:basedOn w:val="CommentText"/>
    <w:next w:val="CommentText"/>
    <w:link w:val="CommentSubjectChar"/>
    <w:uiPriority w:val="99"/>
    <w:semiHidden/>
    <w:unhideWhenUsed/>
    <w:rsid w:val="00EA49FF"/>
    <w:rPr>
      <w:b/>
      <w:bCs/>
    </w:rPr>
  </w:style>
  <w:style w:type="character" w:customStyle="1" w:styleId="CommentSubjectChar">
    <w:name w:val="Comment Subject Char"/>
    <w:basedOn w:val="CommentTextChar"/>
    <w:link w:val="CommentSubject"/>
    <w:uiPriority w:val="99"/>
    <w:semiHidden/>
    <w:rsid w:val="00EA49FF"/>
    <w:rPr>
      <w:b/>
      <w:bCs/>
      <w:sz w:val="20"/>
      <w:szCs w:val="20"/>
    </w:rPr>
  </w:style>
  <w:style w:type="paragraph" w:styleId="BalloonText">
    <w:name w:val="Balloon Text"/>
    <w:basedOn w:val="Normal"/>
    <w:link w:val="BalloonTextChar"/>
    <w:uiPriority w:val="99"/>
    <w:semiHidden/>
    <w:unhideWhenUsed/>
    <w:rsid w:val="00EA4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FF"/>
    <w:rPr>
      <w:rFonts w:ascii="Segoe UI" w:hAnsi="Segoe UI" w:cs="Segoe UI"/>
      <w:sz w:val="18"/>
      <w:szCs w:val="18"/>
    </w:rPr>
  </w:style>
  <w:style w:type="paragraph" w:styleId="Header">
    <w:name w:val="header"/>
    <w:basedOn w:val="Normal"/>
    <w:link w:val="HeaderChar"/>
    <w:uiPriority w:val="99"/>
    <w:unhideWhenUsed/>
    <w:rsid w:val="009C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D6"/>
  </w:style>
  <w:style w:type="paragraph" w:styleId="Footer">
    <w:name w:val="footer"/>
    <w:basedOn w:val="Normal"/>
    <w:link w:val="FooterChar"/>
    <w:uiPriority w:val="99"/>
    <w:unhideWhenUsed/>
    <w:rsid w:val="009C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D6"/>
  </w:style>
  <w:style w:type="character" w:styleId="Hyperlink">
    <w:name w:val="Hyperlink"/>
    <w:basedOn w:val="DefaultParagraphFont"/>
    <w:uiPriority w:val="99"/>
    <w:unhideWhenUsed/>
    <w:rsid w:val="00523812"/>
    <w:rPr>
      <w:color w:val="0563C1" w:themeColor="hyperlink"/>
      <w:u w:val="single"/>
    </w:rPr>
  </w:style>
  <w:style w:type="character" w:styleId="FollowedHyperlink">
    <w:name w:val="FollowedHyperlink"/>
    <w:basedOn w:val="DefaultParagraphFont"/>
    <w:uiPriority w:val="99"/>
    <w:semiHidden/>
    <w:unhideWhenUsed/>
    <w:rsid w:val="00F91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730">
      <w:bodyDiv w:val="1"/>
      <w:marLeft w:val="0"/>
      <w:marRight w:val="0"/>
      <w:marTop w:val="0"/>
      <w:marBottom w:val="0"/>
      <w:divBdr>
        <w:top w:val="none" w:sz="0" w:space="0" w:color="auto"/>
        <w:left w:val="none" w:sz="0" w:space="0" w:color="auto"/>
        <w:bottom w:val="none" w:sz="0" w:space="0" w:color="auto"/>
        <w:right w:val="none" w:sz="0" w:space="0" w:color="auto"/>
      </w:divBdr>
      <w:divsChild>
        <w:div w:id="1933973767">
          <w:marLeft w:val="547"/>
          <w:marRight w:val="0"/>
          <w:marTop w:val="0"/>
          <w:marBottom w:val="0"/>
          <w:divBdr>
            <w:top w:val="none" w:sz="0" w:space="0" w:color="auto"/>
            <w:left w:val="none" w:sz="0" w:space="0" w:color="auto"/>
            <w:bottom w:val="none" w:sz="0" w:space="0" w:color="auto"/>
            <w:right w:val="none" w:sz="0" w:space="0" w:color="auto"/>
          </w:divBdr>
        </w:div>
        <w:div w:id="802819122">
          <w:marLeft w:val="547"/>
          <w:marRight w:val="0"/>
          <w:marTop w:val="0"/>
          <w:marBottom w:val="0"/>
          <w:divBdr>
            <w:top w:val="none" w:sz="0" w:space="0" w:color="auto"/>
            <w:left w:val="none" w:sz="0" w:space="0" w:color="auto"/>
            <w:bottom w:val="none" w:sz="0" w:space="0" w:color="auto"/>
            <w:right w:val="none" w:sz="0" w:space="0" w:color="auto"/>
          </w:divBdr>
        </w:div>
        <w:div w:id="148138324">
          <w:marLeft w:val="547"/>
          <w:marRight w:val="0"/>
          <w:marTop w:val="0"/>
          <w:marBottom w:val="0"/>
          <w:divBdr>
            <w:top w:val="none" w:sz="0" w:space="0" w:color="auto"/>
            <w:left w:val="none" w:sz="0" w:space="0" w:color="auto"/>
            <w:bottom w:val="none" w:sz="0" w:space="0" w:color="auto"/>
            <w:right w:val="none" w:sz="0" w:space="0" w:color="auto"/>
          </w:divBdr>
        </w:div>
        <w:div w:id="264581793">
          <w:marLeft w:val="547"/>
          <w:marRight w:val="0"/>
          <w:marTop w:val="0"/>
          <w:marBottom w:val="0"/>
          <w:divBdr>
            <w:top w:val="none" w:sz="0" w:space="0" w:color="auto"/>
            <w:left w:val="none" w:sz="0" w:space="0" w:color="auto"/>
            <w:bottom w:val="none" w:sz="0" w:space="0" w:color="auto"/>
            <w:right w:val="none" w:sz="0" w:space="0" w:color="auto"/>
          </w:divBdr>
        </w:div>
        <w:div w:id="201554904">
          <w:marLeft w:val="547"/>
          <w:marRight w:val="0"/>
          <w:marTop w:val="0"/>
          <w:marBottom w:val="0"/>
          <w:divBdr>
            <w:top w:val="none" w:sz="0" w:space="0" w:color="auto"/>
            <w:left w:val="none" w:sz="0" w:space="0" w:color="auto"/>
            <w:bottom w:val="none" w:sz="0" w:space="0" w:color="auto"/>
            <w:right w:val="none" w:sz="0" w:space="0" w:color="auto"/>
          </w:divBdr>
        </w:div>
        <w:div w:id="1066488440">
          <w:marLeft w:val="547"/>
          <w:marRight w:val="0"/>
          <w:marTop w:val="0"/>
          <w:marBottom w:val="0"/>
          <w:divBdr>
            <w:top w:val="none" w:sz="0" w:space="0" w:color="auto"/>
            <w:left w:val="none" w:sz="0" w:space="0" w:color="auto"/>
            <w:bottom w:val="none" w:sz="0" w:space="0" w:color="auto"/>
            <w:right w:val="none" w:sz="0" w:space="0" w:color="auto"/>
          </w:divBdr>
        </w:div>
        <w:div w:id="806707119">
          <w:marLeft w:val="547"/>
          <w:marRight w:val="0"/>
          <w:marTop w:val="0"/>
          <w:marBottom w:val="0"/>
          <w:divBdr>
            <w:top w:val="none" w:sz="0" w:space="0" w:color="auto"/>
            <w:left w:val="none" w:sz="0" w:space="0" w:color="auto"/>
            <w:bottom w:val="none" w:sz="0" w:space="0" w:color="auto"/>
            <w:right w:val="none" w:sz="0" w:space="0" w:color="auto"/>
          </w:divBdr>
        </w:div>
        <w:div w:id="1893611300">
          <w:marLeft w:val="547"/>
          <w:marRight w:val="0"/>
          <w:marTop w:val="0"/>
          <w:marBottom w:val="0"/>
          <w:divBdr>
            <w:top w:val="none" w:sz="0" w:space="0" w:color="auto"/>
            <w:left w:val="none" w:sz="0" w:space="0" w:color="auto"/>
            <w:bottom w:val="none" w:sz="0" w:space="0" w:color="auto"/>
            <w:right w:val="none" w:sz="0" w:space="0" w:color="auto"/>
          </w:divBdr>
        </w:div>
        <w:div w:id="428426669">
          <w:marLeft w:val="547"/>
          <w:marRight w:val="0"/>
          <w:marTop w:val="0"/>
          <w:marBottom w:val="0"/>
          <w:divBdr>
            <w:top w:val="none" w:sz="0" w:space="0" w:color="auto"/>
            <w:left w:val="none" w:sz="0" w:space="0" w:color="auto"/>
            <w:bottom w:val="none" w:sz="0" w:space="0" w:color="auto"/>
            <w:right w:val="none" w:sz="0" w:space="0" w:color="auto"/>
          </w:divBdr>
        </w:div>
        <w:div w:id="1908345439">
          <w:marLeft w:val="547"/>
          <w:marRight w:val="0"/>
          <w:marTop w:val="0"/>
          <w:marBottom w:val="0"/>
          <w:divBdr>
            <w:top w:val="none" w:sz="0" w:space="0" w:color="auto"/>
            <w:left w:val="none" w:sz="0" w:space="0" w:color="auto"/>
            <w:bottom w:val="none" w:sz="0" w:space="0" w:color="auto"/>
            <w:right w:val="none" w:sz="0" w:space="0" w:color="auto"/>
          </w:divBdr>
        </w:div>
        <w:div w:id="579218663">
          <w:marLeft w:val="547"/>
          <w:marRight w:val="0"/>
          <w:marTop w:val="0"/>
          <w:marBottom w:val="0"/>
          <w:divBdr>
            <w:top w:val="none" w:sz="0" w:space="0" w:color="auto"/>
            <w:left w:val="none" w:sz="0" w:space="0" w:color="auto"/>
            <w:bottom w:val="none" w:sz="0" w:space="0" w:color="auto"/>
            <w:right w:val="none" w:sz="0" w:space="0" w:color="auto"/>
          </w:divBdr>
        </w:div>
        <w:div w:id="463278792">
          <w:marLeft w:val="547"/>
          <w:marRight w:val="0"/>
          <w:marTop w:val="0"/>
          <w:marBottom w:val="0"/>
          <w:divBdr>
            <w:top w:val="none" w:sz="0" w:space="0" w:color="auto"/>
            <w:left w:val="none" w:sz="0" w:space="0" w:color="auto"/>
            <w:bottom w:val="none" w:sz="0" w:space="0" w:color="auto"/>
            <w:right w:val="none" w:sz="0" w:space="0" w:color="auto"/>
          </w:divBdr>
        </w:div>
      </w:divsChild>
    </w:div>
    <w:div w:id="764964571">
      <w:bodyDiv w:val="1"/>
      <w:marLeft w:val="0"/>
      <w:marRight w:val="0"/>
      <w:marTop w:val="0"/>
      <w:marBottom w:val="0"/>
      <w:divBdr>
        <w:top w:val="none" w:sz="0" w:space="0" w:color="auto"/>
        <w:left w:val="none" w:sz="0" w:space="0" w:color="auto"/>
        <w:bottom w:val="none" w:sz="0" w:space="0" w:color="auto"/>
        <w:right w:val="none" w:sz="0" w:space="0" w:color="auto"/>
      </w:divBdr>
    </w:div>
    <w:div w:id="859512281">
      <w:bodyDiv w:val="1"/>
      <w:marLeft w:val="0"/>
      <w:marRight w:val="0"/>
      <w:marTop w:val="0"/>
      <w:marBottom w:val="0"/>
      <w:divBdr>
        <w:top w:val="none" w:sz="0" w:space="0" w:color="auto"/>
        <w:left w:val="none" w:sz="0" w:space="0" w:color="auto"/>
        <w:bottom w:val="none" w:sz="0" w:space="0" w:color="auto"/>
        <w:right w:val="none" w:sz="0" w:space="0" w:color="auto"/>
      </w:divBdr>
    </w:div>
    <w:div w:id="1178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ceduresonline.com/trixcms2/media/7344/appendixg_decisionmakinghatstool_amodelforindividualandgroupreflectivesupervision.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eduresonline.com/trixcms2/media/7345/appendixf_systemicreflectivespaceamodelforreflectivegroupsupervisio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2/media/7346/appendixe_usefulquestionstoguidesupervisionpromptsforreflectivepractice.docx" TargetMode="External"/><Relationship Id="rId5" Type="http://schemas.openxmlformats.org/officeDocument/2006/relationships/webSettings" Target="webSettings.xml"/><Relationship Id="rId15" Type="http://schemas.openxmlformats.org/officeDocument/2006/relationships/hyperlink" Target="https://proceduresonline.com/trixcms2/media/8242/rip_reflective_supervision_resource_pack_2017.pdf" TargetMode="External"/><Relationship Id="rId10" Type="http://schemas.openxmlformats.org/officeDocument/2006/relationships/hyperlink" Target="https://proceduresonline.com/trixcms2/media/8479/practice-standards-for-practitioners-and-managers-improving-outcomes-for-children-in-northamptonshire.pdf" TargetMode="External"/><Relationship Id="rId4" Type="http://schemas.openxmlformats.org/officeDocument/2006/relationships/settings" Target="settings.xml"/><Relationship Id="rId9" Type="http://schemas.openxmlformats.org/officeDocument/2006/relationships/hyperlink" Target="https://proceduresonline.com/trixcms2/media/8481/nctsupervisionpolicyandprocedure.docx" TargetMode="External"/><Relationship Id="rId14" Type="http://schemas.openxmlformats.org/officeDocument/2006/relationships/hyperlink" Target="https://proceduresonline.com/trixcms2/media/8242/rip_reflective_supervision_resource_pack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3941-7467-4A7B-A304-DE43CDB6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Kwesi Williams</cp:lastModifiedBy>
  <cp:revision>2</cp:revision>
  <dcterms:created xsi:type="dcterms:W3CDTF">2021-07-23T15:55:00Z</dcterms:created>
  <dcterms:modified xsi:type="dcterms:W3CDTF">2021-07-23T15:55:00Z</dcterms:modified>
</cp:coreProperties>
</file>