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BEC" w:rsidRDefault="00AA3BEC">
      <w:pPr>
        <w:sectPr w:rsidR="00AA3BEC" w:rsidSect="00AA3BEC">
          <w:headerReference w:type="default" r:id="rId7"/>
          <w:pgSz w:w="11906" w:h="16838" w:code="9"/>
          <w:pgMar w:top="1440" w:right="1361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1138"/>
        <w:tblW w:w="10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488"/>
        <w:gridCol w:w="1380"/>
        <w:gridCol w:w="4932"/>
        <w:gridCol w:w="267"/>
      </w:tblGrid>
      <w:tr w:rsidR="009F3F77" w:rsidTr="009F3F77">
        <w:trPr>
          <w:trHeight w:val="214"/>
        </w:trPr>
        <w:tc>
          <w:tcPr>
            <w:tcW w:w="2412" w:type="dxa"/>
            <w:shd w:val="clear" w:color="auto" w:fill="auto"/>
            <w:vAlign w:val="center"/>
          </w:tcPr>
          <w:p w:rsidR="009F3F77" w:rsidRPr="00EB1A5B" w:rsidRDefault="009F3F77" w:rsidP="009F3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A5B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800" w:type="dxa"/>
            <w:gridSpan w:val="3"/>
            <w:vAlign w:val="center"/>
          </w:tcPr>
          <w:p w:rsidR="009F3F77" w:rsidRDefault="009F3F77" w:rsidP="009F3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 with learning difficulties</w:t>
            </w:r>
          </w:p>
        </w:tc>
        <w:tc>
          <w:tcPr>
            <w:tcW w:w="267" w:type="dxa"/>
          </w:tcPr>
          <w:p w:rsidR="009F3F77" w:rsidRDefault="009F3F77" w:rsidP="009F3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F77" w:rsidTr="009F3F77">
        <w:trPr>
          <w:trHeight w:val="214"/>
        </w:trPr>
        <w:tc>
          <w:tcPr>
            <w:tcW w:w="2412" w:type="dxa"/>
            <w:shd w:val="clear" w:color="auto" w:fill="auto"/>
            <w:vAlign w:val="center"/>
          </w:tcPr>
          <w:p w:rsidR="009F3F77" w:rsidRPr="00EB1A5B" w:rsidRDefault="009F3F77" w:rsidP="009F3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A5B">
              <w:rPr>
                <w:rFonts w:ascii="Arial" w:hAnsi="Arial" w:cs="Arial"/>
                <w:b/>
                <w:sz w:val="24"/>
                <w:szCs w:val="24"/>
              </w:rPr>
              <w:t xml:space="preserve">Prepared 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EB1A5B">
              <w:rPr>
                <w:rFonts w:ascii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868" w:type="dxa"/>
            <w:gridSpan w:val="2"/>
            <w:vAlign w:val="center"/>
          </w:tcPr>
          <w:p w:rsidR="009F3F77" w:rsidRDefault="009F3F77" w:rsidP="009F3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Khadija Tai</w:t>
            </w:r>
          </w:p>
        </w:tc>
        <w:tc>
          <w:tcPr>
            <w:tcW w:w="4931" w:type="dxa"/>
            <w:vAlign w:val="center"/>
          </w:tcPr>
          <w:p w:rsidR="009F3F77" w:rsidRDefault="009F3F77" w:rsidP="009F3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22.03.2021</w:t>
            </w:r>
          </w:p>
        </w:tc>
        <w:tc>
          <w:tcPr>
            <w:tcW w:w="267" w:type="dxa"/>
          </w:tcPr>
          <w:p w:rsidR="009F3F77" w:rsidRDefault="009F3F77" w:rsidP="009F3F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F77" w:rsidTr="009F3F77">
        <w:trPr>
          <w:gridAfter w:val="3"/>
          <w:wAfter w:w="6579" w:type="dxa"/>
          <w:trHeight w:val="214"/>
        </w:trPr>
        <w:tc>
          <w:tcPr>
            <w:tcW w:w="2412" w:type="dxa"/>
            <w:shd w:val="clear" w:color="auto" w:fill="auto"/>
            <w:vAlign w:val="center"/>
          </w:tcPr>
          <w:p w:rsidR="009F3F77" w:rsidRPr="00EB1A5B" w:rsidRDefault="009F3F77" w:rsidP="009F3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Intended audience: </w:t>
            </w:r>
          </w:p>
        </w:tc>
        <w:tc>
          <w:tcPr>
            <w:tcW w:w="1488" w:type="dxa"/>
            <w:vAlign w:val="center"/>
          </w:tcPr>
          <w:p w:rsidR="009F3F77" w:rsidRDefault="009F3F77" w:rsidP="009F3F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Internal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601912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AA3BEC" w:rsidRDefault="00AA3BEC">
      <w:r>
        <w:rPr>
          <w:noProof/>
        </w:rPr>
        <w:drawing>
          <wp:inline distT="0" distB="0" distL="0" distR="0" wp14:anchorId="499C2714">
            <wp:extent cx="2737485" cy="6096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F77" w:rsidRDefault="009F3F77"/>
    <w:p w:rsidR="00AA3BEC" w:rsidRDefault="00AA3BEC" w:rsidP="00AA3BE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195E0" wp14:editId="724FA443">
                <wp:simplePos x="0" y="0"/>
                <wp:positionH relativeFrom="column">
                  <wp:posOffset>-47626</wp:posOffset>
                </wp:positionH>
                <wp:positionV relativeFrom="paragraph">
                  <wp:posOffset>16510</wp:posOffset>
                </wp:positionV>
                <wp:extent cx="69437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68851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.3pt" to="54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" strokecolor="#ffc000 [3207]" strokeweight="1pt">
                <v:stroke joinstyle="miter"/>
              </v:line>
            </w:pict>
          </mc:Fallback>
        </mc:AlternateContent>
      </w:r>
    </w:p>
    <w:p w:rsidR="00AA3BEC" w:rsidRPr="009F3F77" w:rsidRDefault="00AA3BEC" w:rsidP="00AA3BEC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F3F77">
        <w:rPr>
          <w:rFonts w:ascii="Arial" w:hAnsi="Arial" w:cs="Arial"/>
          <w:b/>
          <w:bCs/>
          <w:sz w:val="24"/>
          <w:szCs w:val="24"/>
          <w:u w:val="single"/>
        </w:rPr>
        <w:t>Purpose</w:t>
      </w:r>
    </w:p>
    <w:p w:rsidR="00AA3BEC" w:rsidRPr="009F3F77" w:rsidRDefault="00AA3BEC" w:rsidP="00AA3BEC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A3BEC" w:rsidRDefault="00AA3BEC" w:rsidP="00AA3B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purpose of this briefing is to share developments from the working group on parents with learning difficulties and outline proposed processes and next steps.</w:t>
      </w:r>
    </w:p>
    <w:p w:rsidR="00AA3BEC" w:rsidRDefault="00AA3BEC" w:rsidP="00AA3BE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A3BEC" w:rsidRDefault="00AA3BEC" w:rsidP="009F3F7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E3020">
        <w:rPr>
          <w:rFonts w:ascii="Arial" w:hAnsi="Arial" w:cs="Arial"/>
          <w:b/>
          <w:bCs/>
          <w:sz w:val="24"/>
          <w:szCs w:val="24"/>
        </w:rPr>
        <w:t>A note about terms</w:t>
      </w:r>
    </w:p>
    <w:p w:rsidR="00AA3BEC" w:rsidRDefault="00AA3BEC" w:rsidP="009F3F7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A3BEC" w:rsidRPr="00542DE1" w:rsidRDefault="00AA3BEC" w:rsidP="009F3F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Learning difficulties refer to a range of difference in a person’s cognitive (thinking) skills which affect their ability to understand, process or retain information. They can be specific (e.g. literacy, language, mathematical) or general, and range from mild (affecting 10-20% of the population) to severe (affecting 1-2% of the population)</w:t>
      </w:r>
    </w:p>
    <w:p w:rsidR="00AA3BEC" w:rsidRDefault="00AA3BEC" w:rsidP="009F3F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42DE1">
        <w:rPr>
          <w:rFonts w:ascii="Arial" w:hAnsi="Arial" w:cs="Arial"/>
          <w:bCs/>
          <w:sz w:val="24"/>
          <w:szCs w:val="24"/>
        </w:rPr>
        <w:t xml:space="preserve">Learning disability </w:t>
      </w:r>
      <w:r>
        <w:rPr>
          <w:rFonts w:ascii="Arial" w:hAnsi="Arial" w:cs="Arial"/>
          <w:bCs/>
          <w:sz w:val="24"/>
          <w:szCs w:val="24"/>
        </w:rPr>
        <w:t xml:space="preserve">is a diagnostic term used to define general learning difficulties at a </w:t>
      </w:r>
      <w:r w:rsidR="009F3F77">
        <w:rPr>
          <w:rFonts w:ascii="Arial" w:hAnsi="Arial" w:cs="Arial"/>
          <w:bCs/>
          <w:sz w:val="24"/>
          <w:szCs w:val="24"/>
        </w:rPr>
        <w:t>level</w:t>
      </w:r>
      <w:r>
        <w:rPr>
          <w:rFonts w:ascii="Arial" w:hAnsi="Arial" w:cs="Arial"/>
          <w:bCs/>
          <w:sz w:val="24"/>
          <w:szCs w:val="24"/>
        </w:rPr>
        <w:t>. For a diagnosis of a learning disability a person will meet the following criteria:</w:t>
      </w:r>
    </w:p>
    <w:p w:rsidR="00AA3BEC" w:rsidRDefault="00AA3BEC" w:rsidP="009F3F7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Severe impairment of cognitive functioning – i.e. an IQ score below 70 (bottom 2%); and</w:t>
      </w:r>
    </w:p>
    <w:p w:rsidR="00AA3BEC" w:rsidRDefault="00AA3BEC" w:rsidP="009F3F7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Impaired social functioning (ability to cope with everyday skills and tasks)</w:t>
      </w:r>
    </w:p>
    <w:p w:rsidR="00AA3BEC" w:rsidRDefault="00AA3BEC" w:rsidP="009F3F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D2CA6">
        <w:rPr>
          <w:rFonts w:ascii="Arial" w:hAnsi="Arial" w:cs="Arial"/>
          <w:bCs/>
          <w:sz w:val="24"/>
          <w:szCs w:val="24"/>
        </w:rPr>
        <w:t>IQ</w:t>
      </w:r>
      <w:r>
        <w:rPr>
          <w:rFonts w:ascii="Arial" w:hAnsi="Arial" w:cs="Arial"/>
          <w:bCs/>
          <w:sz w:val="24"/>
          <w:szCs w:val="24"/>
        </w:rPr>
        <w:t xml:space="preserve"> refers to intelligence quotient and is a score that is used to estimate a person’s cognitive skills in comparison to the general population. The average score is 100. IQ tests usually measure verbal and non-verbal reasoning skills, and some measure short-term memory and spatial or other processing skills. </w:t>
      </w:r>
    </w:p>
    <w:p w:rsidR="00AA3BEC" w:rsidRPr="007D2CA6" w:rsidRDefault="00AA3BEC" w:rsidP="009F3F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Most people with learning difficulties experience difficulties from childhood, but some can acquire difficulties due to acquired brain injury, the result of drink or drug use, or as part of a neurodegenerative condition.</w:t>
      </w:r>
    </w:p>
    <w:p w:rsidR="00AA3BEC" w:rsidRDefault="00AA3BEC" w:rsidP="00AA3BE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A3BEC" w:rsidRDefault="00AA3BEC" w:rsidP="00AA3BE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A3BEC" w:rsidRDefault="00AA3BEC" w:rsidP="009F3F7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36A3">
        <w:rPr>
          <w:rFonts w:ascii="Arial" w:hAnsi="Arial" w:cs="Arial"/>
          <w:b/>
          <w:bCs/>
          <w:sz w:val="24"/>
          <w:szCs w:val="24"/>
        </w:rPr>
        <w:t>Background and context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A3BEC" w:rsidRDefault="00AA3BEC" w:rsidP="009F3F7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A3BEC" w:rsidRDefault="00AA3BEC" w:rsidP="009F3F7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highlight w:val="yellow"/>
        </w:rPr>
      </w:pPr>
      <w:r>
        <w:rPr>
          <w:rFonts w:ascii="Arial" w:hAnsi="Arial" w:cs="Arial"/>
          <w:bCs/>
          <w:sz w:val="24"/>
          <w:szCs w:val="24"/>
        </w:rPr>
        <w:t xml:space="preserve">From August 2020- Feb 2021, a small working group was convened to identify ways of improving approaches to identifying and supporting parents with learning disabilities. The group comprised Julie </w:t>
      </w:r>
      <w:r w:rsidR="009F3F77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 xml:space="preserve">ink, Principal Educational Psychologist, Khadija </w:t>
      </w:r>
      <w:r w:rsidR="005A3396">
        <w:rPr>
          <w:rFonts w:ascii="Arial" w:hAnsi="Arial" w:cs="Arial"/>
          <w:bCs/>
          <w:sz w:val="24"/>
          <w:szCs w:val="24"/>
        </w:rPr>
        <w:t>Tai,</w:t>
      </w:r>
      <w:r w:rsidR="009F3F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Service Manager</w:t>
      </w:r>
      <w:bookmarkStart w:id="0" w:name="_GoBack"/>
      <w:bookmarkEnd w:id="0"/>
      <w:r w:rsidR="009F3F77">
        <w:rPr>
          <w:rFonts w:ascii="Arial" w:hAnsi="Arial" w:cs="Arial"/>
          <w:bCs/>
          <w:sz w:val="24"/>
          <w:szCs w:val="24"/>
        </w:rPr>
        <w:t xml:space="preserve"> and Nisha Gupta PSW.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F3F77" w:rsidRDefault="009F3F77" w:rsidP="009F3F7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A3BEC" w:rsidRDefault="00AA3BEC" w:rsidP="009F3F7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Current practice in relation to parents with learning difficulties in Sandwell </w:t>
      </w:r>
      <w:proofErr w:type="gramStart"/>
      <w:r w:rsidR="009F3F77">
        <w:rPr>
          <w:rFonts w:ascii="Arial" w:hAnsi="Arial" w:cs="Arial"/>
          <w:bCs/>
          <w:sz w:val="24"/>
          <w:szCs w:val="24"/>
        </w:rPr>
        <w:t>in</w:t>
      </w:r>
      <w:r>
        <w:rPr>
          <w:rFonts w:ascii="Arial" w:hAnsi="Arial" w:cs="Arial"/>
          <w:bCs/>
          <w:sz w:val="24"/>
          <w:szCs w:val="24"/>
        </w:rPr>
        <w:t xml:space="preserve"> order to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identify learning disabilities a social worker might seek a cognitive assessment of the parent, either through a referral to Resource Panel to commission an independent assessment. They may also request a PAMS (Parent Assessment Manual) assessment. There are various problems with the current situation in some cases:</w:t>
      </w:r>
    </w:p>
    <w:p w:rsidR="00AA3BEC" w:rsidRDefault="00AA3BEC" w:rsidP="009F3F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Assessments are often requested late in the planning process – it helps to explain why intervention has not been successful, rather than guiding how it could be successful.</w:t>
      </w:r>
    </w:p>
    <w:p w:rsidR="00AA3BEC" w:rsidRDefault="00AA3BEC" w:rsidP="009F3F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Commissioning independent assessments is costly.</w:t>
      </w:r>
    </w:p>
    <w:p w:rsidR="00AA3BEC" w:rsidRDefault="00AA3BEC" w:rsidP="00AA3BE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A3BEC" w:rsidRDefault="00AA3BEC" w:rsidP="009F3F7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more fundamental issue, however, is that a cognitive assessment is an inappropriate tool for identifying parenting skills or the capacity of a parent to change or engage with support. A cognitive assessment cannot identify what a parent’s support needs are.</w:t>
      </w:r>
    </w:p>
    <w:p w:rsidR="00AA3BEC" w:rsidRDefault="00AA3BEC" w:rsidP="009F3F7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A3BEC" w:rsidRPr="00BE4CBD" w:rsidRDefault="00AA3BEC" w:rsidP="009F3F77">
      <w:pPr>
        <w:spacing w:after="0" w:line="240" w:lineRule="auto"/>
        <w:jc w:val="both"/>
        <w:rPr>
          <w:rFonts w:ascii="Arial" w:hAnsi="Arial" w:cs="Arial"/>
          <w:sz w:val="24"/>
        </w:rPr>
      </w:pPr>
      <w:r w:rsidRPr="00BE4CBD">
        <w:rPr>
          <w:rFonts w:ascii="Arial" w:hAnsi="Arial" w:cs="Arial"/>
          <w:sz w:val="24"/>
        </w:rPr>
        <w:t>In respect of parents with learning difficulties, research evidence suggests:</w:t>
      </w:r>
    </w:p>
    <w:p w:rsidR="00AA3BEC" w:rsidRPr="00BE4CBD" w:rsidRDefault="00AA3BEC" w:rsidP="009F3F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BE4CBD">
        <w:rPr>
          <w:rFonts w:ascii="Arial" w:hAnsi="Arial" w:cs="Arial"/>
          <w:sz w:val="24"/>
        </w:rPr>
        <w:t>The link between assessed cognitive ability and parenting skills is tenuous – only for those with a very low IQ (i.e. &lt;60) does there appear to be any relationship.</w:t>
      </w:r>
    </w:p>
    <w:p w:rsidR="00AA3BEC" w:rsidRPr="00BE4CBD" w:rsidRDefault="00AA3BEC" w:rsidP="009F3F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BE4CBD">
        <w:rPr>
          <w:rFonts w:ascii="Arial" w:hAnsi="Arial" w:cs="Arial"/>
          <w:sz w:val="24"/>
        </w:rPr>
        <w:t>Parents with learning difficulties are more likely than others to have children removed.</w:t>
      </w:r>
    </w:p>
    <w:p w:rsidR="00AA3BEC" w:rsidRPr="00BE4CBD" w:rsidRDefault="00AA3BEC" w:rsidP="009F3F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BE4CBD">
        <w:rPr>
          <w:rFonts w:ascii="Arial" w:hAnsi="Arial" w:cs="Arial"/>
          <w:sz w:val="24"/>
        </w:rPr>
        <w:t>Parents with learning difficulties can be taught to develop effective parenting skills, but</w:t>
      </w:r>
      <w:r>
        <w:rPr>
          <w:rFonts w:ascii="Arial" w:hAnsi="Arial" w:cs="Arial"/>
          <w:sz w:val="24"/>
        </w:rPr>
        <w:t xml:space="preserve"> this requires differentiation and </w:t>
      </w:r>
      <w:r w:rsidRPr="00BE4CBD">
        <w:rPr>
          <w:rFonts w:ascii="Arial" w:hAnsi="Arial" w:cs="Arial"/>
          <w:sz w:val="24"/>
        </w:rPr>
        <w:t>individually-tailored support</w:t>
      </w:r>
      <w:r>
        <w:rPr>
          <w:rFonts w:ascii="Arial" w:hAnsi="Arial" w:cs="Arial"/>
          <w:sz w:val="24"/>
        </w:rPr>
        <w:t>. Effective strategies</w:t>
      </w:r>
      <w:r w:rsidRPr="00BE4CBD">
        <w:rPr>
          <w:rFonts w:ascii="Arial" w:hAnsi="Arial" w:cs="Arial"/>
          <w:sz w:val="24"/>
        </w:rPr>
        <w:t xml:space="preserve"> to help parents with learning diff</w:t>
      </w:r>
      <w:r>
        <w:rPr>
          <w:rFonts w:ascii="Arial" w:hAnsi="Arial" w:cs="Arial"/>
          <w:sz w:val="24"/>
        </w:rPr>
        <w:t xml:space="preserve">iculties to develop new skills can include, </w:t>
      </w:r>
      <w:r w:rsidRPr="00BE4CBD">
        <w:rPr>
          <w:rFonts w:ascii="Arial" w:hAnsi="Arial" w:cs="Arial"/>
          <w:sz w:val="24"/>
        </w:rPr>
        <w:t xml:space="preserve">e.g. simplifying language, use of checklists, direct instruction, visual support, breaking tasks into small steps, teaching skills in context, increased </w:t>
      </w:r>
      <w:r>
        <w:rPr>
          <w:rFonts w:ascii="Arial" w:hAnsi="Arial" w:cs="Arial"/>
          <w:sz w:val="24"/>
        </w:rPr>
        <w:t>rehearsal, interleaved learning.</w:t>
      </w:r>
    </w:p>
    <w:p w:rsidR="00AA3BEC" w:rsidRDefault="00AA3BEC" w:rsidP="009F3F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BE4CBD">
        <w:rPr>
          <w:rFonts w:ascii="Arial" w:hAnsi="Arial" w:cs="Arial"/>
          <w:sz w:val="24"/>
        </w:rPr>
        <w:t>Parents with learning difficulties experience discrimination and exclusion though inaccessible child protection processes.</w:t>
      </w:r>
    </w:p>
    <w:p w:rsidR="00AA3BEC" w:rsidRDefault="00AA3BEC" w:rsidP="009F3F7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A3BEC" w:rsidRDefault="00AA3BEC" w:rsidP="00AA3BE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is also important to note that if a parent does have a learning disability they are likely to be a vulnerable adult and may be eligible for an assessment of their needs under the Care Act.</w:t>
      </w:r>
    </w:p>
    <w:p w:rsidR="00AA3BEC" w:rsidRPr="004F4DFD" w:rsidRDefault="00AA3BEC" w:rsidP="00AA3BE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A3BEC" w:rsidRDefault="00AA3BEC" w:rsidP="00AA3BE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45DA223" wp14:editId="47220609">
            <wp:simplePos x="0" y="0"/>
            <wp:positionH relativeFrom="column">
              <wp:posOffset>7715250</wp:posOffset>
            </wp:positionH>
            <wp:positionV relativeFrom="paragraph">
              <wp:posOffset>375920</wp:posOffset>
            </wp:positionV>
            <wp:extent cx="1600200" cy="53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 logo - Whi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 xml:space="preserve">Proposals </w:t>
      </w:r>
    </w:p>
    <w:p w:rsidR="00AA3BEC" w:rsidRDefault="00AA3BEC" w:rsidP="00AA3BE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A3BEC" w:rsidRDefault="00AA3BEC" w:rsidP="00AA3BE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view of the working group is that cognitive assessments are seldom, if ever, a useful tool for supporting parents who may have learning difficulties and improving outcomes for their children. The Educational Psychology Service have developed a screening tool (appendix 1) that can be used by front-line workers to identify if a parent has learning needs and to start discussions about the support needs. </w:t>
      </w:r>
    </w:p>
    <w:p w:rsidR="00AA3BEC" w:rsidRDefault="00AA3BEC" w:rsidP="00AA3BE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A3BEC" w:rsidRDefault="00AA3BEC" w:rsidP="00AA3BE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Where a parent has learning difficulties, it is crucial that the parent’s vulnerabilities and support needs are identified, as well as the impact of any difficulties on the child. A whole family approach is necessary.</w:t>
      </w:r>
    </w:p>
    <w:p w:rsidR="00AA3BEC" w:rsidRDefault="00AA3BEC" w:rsidP="00AA3BE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A3BEC" w:rsidRDefault="00AA3BEC" w:rsidP="00AA3BE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Being able to evidence what needs have been identified and how this has informed planning is crucial for effective planning in relation to legal processes.</w:t>
      </w:r>
    </w:p>
    <w:p w:rsidR="00AA3BEC" w:rsidRPr="002E3020" w:rsidRDefault="00AA3BEC" w:rsidP="00AA3BE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A3BEC" w:rsidRDefault="00AA3BEC" w:rsidP="00AA3BE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following is an outline process for identifying and working with parents with learning difficulties.</w:t>
      </w:r>
    </w:p>
    <w:p w:rsidR="00AA3BEC" w:rsidRDefault="00AA3BEC" w:rsidP="00AA3BE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F3F77" w:rsidRDefault="009F3F77" w:rsidP="00AA3BE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A3396" w:rsidRPr="005A3396" w:rsidRDefault="005A3396" w:rsidP="005A339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1B5CFEFF">
            <wp:extent cx="5547995" cy="583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554" cy="5835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396" w:rsidRDefault="005A3396" w:rsidP="005A339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Email referral to  </w:t>
      </w:r>
      <w:hyperlink r:id="rId11" w:history="1">
        <w:r w:rsidRPr="004548C5">
          <w:rPr>
            <w:rStyle w:val="Hyperlink"/>
            <w:rFonts w:ascii="Arial" w:hAnsi="Arial" w:cs="Arial"/>
            <w:b/>
            <w:bCs/>
            <w:sz w:val="24"/>
            <w:szCs w:val="24"/>
          </w:rPr>
          <w:t>inclusion_support@sandwell.gov.uk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  -     </w:t>
      </w:r>
      <w:r w:rsidRPr="005A3396">
        <w:rPr>
          <w:rFonts w:ascii="Arial" w:hAnsi="Arial" w:cs="Arial"/>
          <w:b/>
          <w:bCs/>
          <w:sz w:val="24"/>
          <w:szCs w:val="24"/>
        </w:rPr>
        <w:t>in the title line mark REFERRALS FAO: JULIE LINK</w:t>
      </w:r>
    </w:p>
    <w:p w:rsidR="005A3396" w:rsidRDefault="005A3396" w:rsidP="005A3396">
      <w:pPr>
        <w:rPr>
          <w:rFonts w:ascii="Arial" w:hAnsi="Arial" w:cs="Arial"/>
          <w:b/>
          <w:bCs/>
          <w:sz w:val="24"/>
          <w:szCs w:val="24"/>
        </w:rPr>
      </w:pPr>
    </w:p>
    <w:p w:rsidR="005A3396" w:rsidRDefault="005A3396" w:rsidP="005A3396">
      <w:pPr>
        <w:rPr>
          <w:rFonts w:ascii="Arial" w:hAnsi="Arial" w:cs="Arial"/>
          <w:b/>
          <w:bCs/>
          <w:sz w:val="24"/>
          <w:szCs w:val="24"/>
        </w:rPr>
      </w:pPr>
    </w:p>
    <w:p w:rsidR="005A3396" w:rsidRDefault="005A3396" w:rsidP="005A3396">
      <w:pPr>
        <w:rPr>
          <w:rFonts w:ascii="Arial" w:hAnsi="Arial" w:cs="Arial"/>
          <w:b/>
          <w:bCs/>
          <w:sz w:val="24"/>
          <w:szCs w:val="24"/>
        </w:rPr>
      </w:pPr>
    </w:p>
    <w:p w:rsidR="005A3396" w:rsidRDefault="005A3396" w:rsidP="005A339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NEXT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8"/>
        <w:gridCol w:w="2178"/>
      </w:tblGrid>
      <w:tr w:rsidR="00AA3BEC" w:rsidTr="005A3396">
        <w:tc>
          <w:tcPr>
            <w:tcW w:w="6838" w:type="dxa"/>
          </w:tcPr>
          <w:p w:rsidR="00AA3BEC" w:rsidRDefault="00AA3BEC" w:rsidP="00AC59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2178" w:type="dxa"/>
          </w:tcPr>
          <w:p w:rsidR="00AA3BEC" w:rsidRDefault="00AA3BEC" w:rsidP="00AC59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 when</w:t>
            </w:r>
          </w:p>
        </w:tc>
      </w:tr>
      <w:tr w:rsidR="00AA3BEC" w:rsidTr="005A3396">
        <w:tc>
          <w:tcPr>
            <w:tcW w:w="6838" w:type="dxa"/>
          </w:tcPr>
          <w:p w:rsidR="00AA3BEC" w:rsidRPr="0043352C" w:rsidRDefault="005A3396" w:rsidP="00AA3B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Process to be shared with HOS Allison</w:t>
            </w:r>
          </w:p>
        </w:tc>
        <w:tc>
          <w:tcPr>
            <w:tcW w:w="2178" w:type="dxa"/>
          </w:tcPr>
          <w:p w:rsidR="00AA3BEC" w:rsidRDefault="005A3396" w:rsidP="00AC59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  <w:r w:rsidRPr="005A339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March 2021</w:t>
            </w:r>
          </w:p>
        </w:tc>
      </w:tr>
      <w:tr w:rsidR="005A3396" w:rsidTr="005A3396">
        <w:tc>
          <w:tcPr>
            <w:tcW w:w="6838" w:type="dxa"/>
          </w:tcPr>
          <w:p w:rsidR="005A3396" w:rsidRDefault="005A3396" w:rsidP="00AA3B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Briefing note to be shared with Care management colleagues </w:t>
            </w:r>
          </w:p>
        </w:tc>
        <w:tc>
          <w:tcPr>
            <w:tcW w:w="2178" w:type="dxa"/>
          </w:tcPr>
          <w:p w:rsidR="005A3396" w:rsidRDefault="005A3396" w:rsidP="00AC59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Early April 2021</w:t>
            </w:r>
          </w:p>
        </w:tc>
      </w:tr>
      <w:tr w:rsidR="005A3396" w:rsidTr="005A3396">
        <w:tc>
          <w:tcPr>
            <w:tcW w:w="6838" w:type="dxa"/>
          </w:tcPr>
          <w:p w:rsidR="005A3396" w:rsidRPr="005A3396" w:rsidRDefault="005A3396" w:rsidP="005A3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352C">
              <w:rPr>
                <w:rFonts w:ascii="Arial" w:hAnsi="Arial" w:cs="Arial"/>
                <w:bCs/>
                <w:sz w:val="24"/>
                <w:szCs w:val="24"/>
              </w:rPr>
              <w:t>Educational Psycholog</w:t>
            </w:r>
            <w:r>
              <w:rPr>
                <w:rFonts w:ascii="Arial" w:hAnsi="Arial" w:cs="Arial"/>
                <w:bCs/>
                <w:sz w:val="24"/>
                <w:szCs w:val="24"/>
              </w:rPr>
              <w:t>ist to provide 1-1 session from April 2021 – 1 slot</w:t>
            </w:r>
          </w:p>
          <w:p w:rsidR="005A3396" w:rsidRDefault="005A3396" w:rsidP="00AA3B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78" w:type="dxa"/>
          </w:tcPr>
          <w:p w:rsidR="005A3396" w:rsidRDefault="005A3396" w:rsidP="00AC59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5A339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April 2021</w:t>
            </w:r>
          </w:p>
        </w:tc>
      </w:tr>
      <w:tr w:rsidR="00AA3BEC" w:rsidTr="005A3396">
        <w:tc>
          <w:tcPr>
            <w:tcW w:w="6838" w:type="dxa"/>
          </w:tcPr>
          <w:p w:rsidR="00AA3BEC" w:rsidRPr="00B87CCC" w:rsidRDefault="00AA3BEC" w:rsidP="00AA3B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B87CCC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Formal practice guidance on working with parents with learning disabilities agreed by children’s and adults’ management teams </w:t>
            </w:r>
          </w:p>
        </w:tc>
        <w:tc>
          <w:tcPr>
            <w:tcW w:w="2178" w:type="dxa"/>
          </w:tcPr>
          <w:p w:rsidR="00AA3BEC" w:rsidRPr="00B87CCC" w:rsidRDefault="005A3396" w:rsidP="00AC5994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B87CCC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April 2021</w:t>
            </w:r>
          </w:p>
        </w:tc>
      </w:tr>
      <w:tr w:rsidR="00AA3BEC" w:rsidTr="005A3396">
        <w:tc>
          <w:tcPr>
            <w:tcW w:w="6838" w:type="dxa"/>
          </w:tcPr>
          <w:p w:rsidR="00AA3BEC" w:rsidRPr="00B87CCC" w:rsidRDefault="00AA3BEC" w:rsidP="00AA3B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B87CCC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Identification of Champions for hidden disabilities (LD and autism) across children’s services</w:t>
            </w:r>
          </w:p>
        </w:tc>
        <w:tc>
          <w:tcPr>
            <w:tcW w:w="2178" w:type="dxa"/>
          </w:tcPr>
          <w:p w:rsidR="00AA3BEC" w:rsidRPr="00B87CCC" w:rsidRDefault="005A3396" w:rsidP="00AC5994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B87CCC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April 2021</w:t>
            </w:r>
          </w:p>
        </w:tc>
      </w:tr>
    </w:tbl>
    <w:p w:rsidR="00AE13F1" w:rsidRDefault="00AE13F1"/>
    <w:sectPr w:rsidR="00AE13F1" w:rsidSect="00AA3BEC">
      <w:type w:val="continuous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8E1" w:rsidRDefault="009548E1" w:rsidP="00AA3BEC">
      <w:pPr>
        <w:spacing w:after="0" w:line="240" w:lineRule="auto"/>
      </w:pPr>
      <w:r>
        <w:separator/>
      </w:r>
    </w:p>
  </w:endnote>
  <w:endnote w:type="continuationSeparator" w:id="0">
    <w:p w:rsidR="009548E1" w:rsidRDefault="009548E1" w:rsidP="00AA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8E1" w:rsidRDefault="009548E1" w:rsidP="00AA3BEC">
      <w:pPr>
        <w:spacing w:after="0" w:line="240" w:lineRule="auto"/>
      </w:pPr>
      <w:r>
        <w:separator/>
      </w:r>
    </w:p>
  </w:footnote>
  <w:footnote w:type="continuationSeparator" w:id="0">
    <w:p w:rsidR="009548E1" w:rsidRDefault="009548E1" w:rsidP="00AA3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BEC" w:rsidRDefault="00AA3BEC">
    <w:pPr>
      <w:pStyle w:val="Header"/>
    </w:pPr>
    <w:r>
      <w:rPr>
        <w:noProof/>
      </w:rPr>
      <w:drawing>
        <wp:inline distT="0" distB="0" distL="0" distR="0" wp14:anchorId="0A4CB753" wp14:editId="3C21ADEA">
          <wp:extent cx="2736850" cy="609600"/>
          <wp:effectExtent l="0" t="0" r="6350" b="0"/>
          <wp:docPr id="3" name="Picture 3" descr="cid:image006.jpg@01D3C76A.95C9FD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id:image006.jpg@01D3C76A.95C9FDA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BEC" w:rsidRDefault="00AA3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7055"/>
    <w:multiLevelType w:val="hybridMultilevel"/>
    <w:tmpl w:val="628E7A16"/>
    <w:lvl w:ilvl="0" w:tplc="1FFA2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587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00B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A45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1C0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586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CF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EA7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CCF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EF473F9"/>
    <w:multiLevelType w:val="hybridMultilevel"/>
    <w:tmpl w:val="EFEC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B76AB"/>
    <w:multiLevelType w:val="hybridMultilevel"/>
    <w:tmpl w:val="90F6A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716E3"/>
    <w:multiLevelType w:val="hybridMultilevel"/>
    <w:tmpl w:val="562EA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2438C"/>
    <w:multiLevelType w:val="hybridMultilevel"/>
    <w:tmpl w:val="3B186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EC"/>
    <w:rsid w:val="00513017"/>
    <w:rsid w:val="005A0D71"/>
    <w:rsid w:val="005A3396"/>
    <w:rsid w:val="00762F80"/>
    <w:rsid w:val="009548E1"/>
    <w:rsid w:val="00973724"/>
    <w:rsid w:val="009F3F77"/>
    <w:rsid w:val="00A167E3"/>
    <w:rsid w:val="00AA3BEC"/>
    <w:rsid w:val="00AE13F1"/>
    <w:rsid w:val="00B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1A77B"/>
  <w15:chartTrackingRefBased/>
  <w15:docId w15:val="{0A4DF0F8-1F6C-4E99-BCC2-38B530FE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B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B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EC"/>
  </w:style>
  <w:style w:type="paragraph" w:styleId="Footer">
    <w:name w:val="footer"/>
    <w:basedOn w:val="Normal"/>
    <w:link w:val="FooterChar"/>
    <w:uiPriority w:val="99"/>
    <w:unhideWhenUsed/>
    <w:rsid w:val="00AA3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EC"/>
  </w:style>
  <w:style w:type="character" w:styleId="Hyperlink">
    <w:name w:val="Hyperlink"/>
    <w:basedOn w:val="DefaultParagraphFont"/>
    <w:uiPriority w:val="99"/>
    <w:unhideWhenUsed/>
    <w:rsid w:val="005A33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clusion_support@sandwell.gov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Council.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 Tai</dc:creator>
  <cp:keywords/>
  <dc:description/>
  <cp:lastModifiedBy>Allison Sollom</cp:lastModifiedBy>
  <cp:revision>3</cp:revision>
  <dcterms:created xsi:type="dcterms:W3CDTF">2021-03-27T14:38:00Z</dcterms:created>
  <dcterms:modified xsi:type="dcterms:W3CDTF">2021-03-27T14:38:00Z</dcterms:modified>
</cp:coreProperties>
</file>